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C9" w:rsidRDefault="00DA4CC9">
      <w:pPr>
        <w:pStyle w:val="Standard"/>
        <w:jc w:val="center"/>
      </w:pPr>
      <w:bookmarkStart w:id="0" w:name="_GoBack"/>
      <w:bookmarkEnd w:id="0"/>
    </w:p>
    <w:p w:rsidR="00DA4CC9" w:rsidRDefault="00A81108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2"/>
          <w:szCs w:val="32"/>
        </w:rPr>
        <w:t>АДМИНИСТРАЦИЯ СУЩЕВСКОГО СЕЛЬСКОГО ПОСЕЛЕНИЯ</w:t>
      </w:r>
    </w:p>
    <w:p w:rsidR="00DA4CC9" w:rsidRDefault="00A81108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КОСТРОМСКОГО МУНИЦИПАЛЬНОГО РАЙОНА</w:t>
      </w:r>
    </w:p>
    <w:p w:rsidR="00DA4CC9" w:rsidRDefault="00A81108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КОСТРОМСКОЙ ОБЛАСТИ</w:t>
      </w:r>
    </w:p>
    <w:p w:rsidR="00DA4CC9" w:rsidRDefault="00DA4CC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4CC9" w:rsidRDefault="00DA4CC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4CC9" w:rsidRDefault="00A8110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DA4CC9" w:rsidRDefault="00DA4CC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4CC9" w:rsidRDefault="00DA4CC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4CC9" w:rsidRDefault="00A81108">
      <w:pPr>
        <w:pStyle w:val="Standard"/>
      </w:pPr>
      <w:r>
        <w:rPr>
          <w:rFonts w:cs="Times New Roman"/>
          <w:sz w:val="28"/>
          <w:szCs w:val="28"/>
          <w:lang w:val="ru-RU"/>
        </w:rPr>
        <w:t>от 30 октября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 xml:space="preserve"> года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  <w:lang w:val="ru-RU"/>
        </w:rPr>
        <w:t>76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DA4CC9" w:rsidRDefault="00DA4CC9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DA4CC9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Об утверждении Муниципальной программы «Прочие мероприятия по благоустройству Сущевского сельского поселения на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2021-2023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DA4CC9" w:rsidRDefault="00DA4CC9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DA4CC9" w:rsidRDefault="00A81108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>
        <w:rPr>
          <w:rFonts w:cs="Times New Roman"/>
          <w:sz w:val="28"/>
          <w:szCs w:val="28"/>
          <w:lang w:val="ru-RU"/>
        </w:rPr>
        <w:t>образования Сущевское сельское поселение Костромского муниципального района Костромской области,</w:t>
      </w:r>
    </w:p>
    <w:p w:rsidR="00DA4CC9" w:rsidRDefault="00A81108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DA4CC9" w:rsidRDefault="00A81108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Утвердить </w:t>
      </w:r>
      <w:r>
        <w:rPr>
          <w:rFonts w:eastAsia="Arial" w:cs="Times New Roman"/>
          <w:sz w:val="28"/>
          <w:szCs w:val="28"/>
          <w:lang w:val="ru-RU"/>
        </w:rPr>
        <w:t>Муниципальную программу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 на 2021-2023 годы</w:t>
      </w:r>
      <w:r>
        <w:rPr>
          <w:rFonts w:eastAsia="Arial" w:cs="Times New Roman"/>
          <w:sz w:val="28"/>
          <w:szCs w:val="28"/>
          <w:lang w:val="ru-RU"/>
        </w:rPr>
        <w:t>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(Приложение).</w:t>
      </w:r>
    </w:p>
    <w:p w:rsidR="00DA4CC9" w:rsidRDefault="00A81108">
      <w:pPr>
        <w:pStyle w:val="Standard"/>
        <w:numPr>
          <w:ilvl w:val="0"/>
          <w:numId w:val="5"/>
        </w:numPr>
        <w:jc w:val="both"/>
      </w:pPr>
      <w:r>
        <w:rPr>
          <w:sz w:val="28"/>
          <w:szCs w:val="28"/>
          <w:lang w:val="ru-RU"/>
        </w:rPr>
        <w:t>Постановление №14 от 25.02.2020 года «Об утверждении Муниципальной программы «Благоустройство территории Сущевского сельского поселения на 2020-2022 годы» считать утратившим силу с 01 января 2021 года.</w:t>
      </w:r>
    </w:p>
    <w:p w:rsidR="00DA4CC9" w:rsidRDefault="00A81108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3</w:t>
      </w:r>
      <w:r>
        <w:rPr>
          <w:rFonts w:cs="Times New Roman"/>
          <w:sz w:val="28"/>
          <w:szCs w:val="28"/>
        </w:rPr>
        <w:t>.   Контроль  за  выполнением</w:t>
      </w:r>
      <w:r>
        <w:rPr>
          <w:rFonts w:cs="Times New Roman"/>
          <w:sz w:val="28"/>
          <w:szCs w:val="28"/>
        </w:rPr>
        <w:t xml:space="preserve">  настоящего постановления оставляю за собой.</w:t>
      </w:r>
    </w:p>
    <w:p w:rsidR="00DA4CC9" w:rsidRDefault="00A81108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.   Настоящее постановление </w:t>
      </w:r>
      <w:r>
        <w:rPr>
          <w:rFonts w:cs="Times New Roman"/>
          <w:sz w:val="28"/>
          <w:szCs w:val="28"/>
          <w:lang w:val="ru-RU"/>
        </w:rPr>
        <w:t>публикуется в общественно-политическом издании «Депутатский вестник»,</w:t>
      </w:r>
      <w:r>
        <w:rPr>
          <w:rFonts w:cs="Times New Roman"/>
          <w:sz w:val="28"/>
          <w:szCs w:val="28"/>
        </w:rPr>
        <w:t xml:space="preserve">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>Сущевского</w:t>
      </w:r>
      <w:r>
        <w:rPr>
          <w:rFonts w:cs="Times New Roman"/>
          <w:sz w:val="28"/>
          <w:szCs w:val="28"/>
        </w:rPr>
        <w:t xml:space="preserve"> сельского поселения в сети «Интернет»</w:t>
      </w:r>
      <w:r>
        <w:rPr>
          <w:rFonts w:cs="Times New Roman"/>
          <w:sz w:val="28"/>
          <w:szCs w:val="28"/>
          <w:lang w:val="ru-RU"/>
        </w:rPr>
        <w:t xml:space="preserve"> и вступает </w:t>
      </w:r>
      <w:r>
        <w:rPr>
          <w:rFonts w:cs="Times New Roman"/>
          <w:sz w:val="28"/>
          <w:szCs w:val="28"/>
          <w:lang w:val="ru-RU"/>
        </w:rPr>
        <w:t>в силу с 01 января 2021 года.</w:t>
      </w:r>
    </w:p>
    <w:p w:rsidR="00DA4CC9" w:rsidRDefault="00A81108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DA4CC9" w:rsidRDefault="00DA4CC9">
      <w:pPr>
        <w:pStyle w:val="Standard"/>
        <w:jc w:val="both"/>
        <w:rPr>
          <w:sz w:val="28"/>
          <w:szCs w:val="28"/>
        </w:rPr>
      </w:pPr>
    </w:p>
    <w:p w:rsidR="00DA4CC9" w:rsidRDefault="00DA4CC9">
      <w:pPr>
        <w:pStyle w:val="Standard"/>
        <w:jc w:val="both"/>
        <w:rPr>
          <w:sz w:val="28"/>
          <w:szCs w:val="28"/>
          <w:lang w:val="ru-RU"/>
        </w:rPr>
      </w:pPr>
    </w:p>
    <w:p w:rsidR="00DA4CC9" w:rsidRDefault="00DA4CC9">
      <w:pPr>
        <w:pStyle w:val="Standard"/>
        <w:jc w:val="both"/>
        <w:rPr>
          <w:sz w:val="28"/>
          <w:szCs w:val="28"/>
          <w:lang w:val="ru-RU"/>
        </w:rPr>
      </w:pPr>
    </w:p>
    <w:p w:rsidR="00DA4CC9" w:rsidRDefault="00A81108">
      <w:pPr>
        <w:pStyle w:val="Standard"/>
        <w:jc w:val="both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Сущевского</w:t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  <w:t xml:space="preserve">                                 И.А. Аристова</w:t>
      </w:r>
    </w:p>
    <w:p w:rsidR="00DA4CC9" w:rsidRDefault="00DA4CC9">
      <w:pPr>
        <w:pStyle w:val="Standard"/>
        <w:jc w:val="both"/>
      </w:pPr>
    </w:p>
    <w:p w:rsidR="00DA4CC9" w:rsidRDefault="00A811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</w:t>
      </w:r>
    </w:p>
    <w:p w:rsidR="00DA4CC9" w:rsidRDefault="00DA4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CC9" w:rsidRDefault="00A811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</w:p>
    <w:p w:rsidR="00DA4CC9" w:rsidRDefault="00A811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Приложение</w:t>
      </w:r>
    </w:p>
    <w:p w:rsidR="00DA4CC9" w:rsidRDefault="00A811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DA4CC9" w:rsidRDefault="00A811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Сущевского сельского поселения  </w:t>
      </w:r>
    </w:p>
    <w:p w:rsidR="00DA4CC9" w:rsidRDefault="00A81108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   от 30 октября 2020  года    № 76   </w:t>
      </w:r>
    </w:p>
    <w:p w:rsidR="00DA4CC9" w:rsidRDefault="00A81108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</w:t>
      </w:r>
    </w:p>
    <w:p w:rsidR="00DA4CC9" w:rsidRDefault="00A81108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DA4CC9" w:rsidRDefault="00DA4CC9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DA4CC9" w:rsidRDefault="00DA4CC9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DA4CC9" w:rsidRDefault="00A81108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DA4CC9" w:rsidRDefault="00A81108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DA4CC9" w:rsidRDefault="00A81108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DA4CC9" w:rsidRDefault="00DA4CC9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DA4CC9" w:rsidRDefault="00A8110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DA4CC9" w:rsidRDefault="00A81108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ерритории Сущевского сельского поселения</w:t>
      </w:r>
    </w:p>
    <w:p w:rsidR="00DA4CC9" w:rsidRDefault="00A81108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DA4CC9" w:rsidRDefault="00DA4CC9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  <w:p w:rsidR="00DA4CC9" w:rsidRDefault="00A8110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4CC9" w:rsidRDefault="00A81108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DA4CC9" w:rsidRDefault="00A81108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уличного освещения населенных пунктов.</w:t>
            </w:r>
          </w:p>
          <w:p w:rsidR="00DA4CC9" w:rsidRDefault="00A81108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Улучшение санитарного и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эстетического состояния территории  поселения, повышения комфортности условий проживания для жителей поселения.</w:t>
            </w:r>
          </w:p>
          <w:p w:rsidR="00DA4CC9" w:rsidRDefault="00A81108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Standard"/>
              <w:snapToGrid w:val="0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Количество нас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еленных пунктов, обеспеченных надлежащим техническим состоянием сетей (объектов)  уличного освещения.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2021-2023 годы, тыс.рублей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7027,045 тыс. рублей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1 555,0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2 643,5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2 828,545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</w:t>
            </w:r>
            <w:r>
              <w:rPr>
                <w:sz w:val="28"/>
                <w:szCs w:val="28"/>
              </w:rPr>
              <w:t>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7027,045 тыс. рублей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— </w:t>
            </w:r>
            <w:r>
              <w:rPr>
                <w:sz w:val="28"/>
                <w:szCs w:val="28"/>
              </w:rPr>
              <w:t>1 555,0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2643,5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2828,545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рублей.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4CC9" w:rsidRDefault="00A811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DA4CC9" w:rsidRDefault="00DA4CC9">
      <w:pPr>
        <w:pStyle w:val="Standard"/>
        <w:autoSpaceDE w:val="0"/>
        <w:jc w:val="both"/>
        <w:rPr>
          <w:sz w:val="28"/>
          <w:szCs w:val="28"/>
        </w:rPr>
      </w:pPr>
    </w:p>
    <w:p w:rsidR="00DA4CC9" w:rsidRDefault="00A81108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</w:t>
      </w:r>
      <w:r>
        <w:rPr>
          <w:sz w:val="28"/>
          <w:szCs w:val="28"/>
          <w:lang w:val="ru-RU"/>
        </w:rPr>
        <w:t>.</w:t>
      </w:r>
    </w:p>
    <w:p w:rsidR="00DA4CC9" w:rsidRDefault="00A81108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</w:t>
      </w:r>
      <w:r>
        <w:rPr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с  правилами  благоустройств</w:t>
      </w:r>
      <w:r>
        <w:rPr>
          <w:sz w:val="28"/>
          <w:szCs w:val="28"/>
        </w:rPr>
        <w:t>а территории поселения.</w:t>
      </w:r>
    </w:p>
    <w:p w:rsidR="00DA4CC9" w:rsidRDefault="00A81108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обеспечение и повышение ком</w:t>
      </w:r>
      <w:r>
        <w:rPr>
          <w:rFonts w:eastAsia="Times New Roman" w:cs="Times New Roman"/>
          <w:color w:val="00000A"/>
          <w:sz w:val="28"/>
          <w:szCs w:val="28"/>
        </w:rPr>
        <w:t>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 ра</w:t>
      </w:r>
      <w:r>
        <w:rPr>
          <w:rFonts w:eastAsia="Times New Roman" w:cs="Times New Roman"/>
          <w:color w:val="00000A"/>
          <w:sz w:val="28"/>
          <w:szCs w:val="28"/>
        </w:rPr>
        <w:t>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DA4CC9" w:rsidRDefault="00A81108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программа направлена на создание условий для развития системы комплексного </w:t>
      </w:r>
      <w:r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</w:t>
      </w:r>
    </w:p>
    <w:p w:rsidR="00DA4CC9" w:rsidRDefault="00A81108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 xml:space="preserve">Сущевского сельского </w:t>
      </w:r>
      <w:r>
        <w:rPr>
          <w:sz w:val="28"/>
          <w:szCs w:val="28"/>
        </w:rPr>
        <w:t>поселения ра</w:t>
      </w:r>
      <w:r>
        <w:rPr>
          <w:sz w:val="28"/>
          <w:szCs w:val="28"/>
        </w:rPr>
        <w:t>сположено  14 населенных пунктов, где проживает более 4468 человек. Уровень благоустройства населенных пунктов – один из показателей качества</w:t>
      </w:r>
      <w:r>
        <w:rPr>
          <w:sz w:val="28"/>
          <w:szCs w:val="28"/>
          <w:lang w:val="ru-RU"/>
        </w:rPr>
        <w:t xml:space="preserve"> среды проживания жителей поселения, а целенаправленная деятельность по формированию благоприятной среды   является</w:t>
      </w:r>
      <w:r>
        <w:rPr>
          <w:sz w:val="28"/>
          <w:szCs w:val="28"/>
          <w:lang w:val="ru-RU"/>
        </w:rPr>
        <w:t xml:space="preserve"> одной из задач деятельности органов местного самоуправления  Сущевского сельского поселения.  </w:t>
      </w:r>
    </w:p>
    <w:p w:rsidR="00DA4CC9" w:rsidRDefault="00A81108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не обеспечивают комфортных условий для жизни, деятельности и</w:t>
      </w:r>
      <w:r>
        <w:rPr>
          <w:sz w:val="28"/>
          <w:szCs w:val="28"/>
        </w:rPr>
        <w:t xml:space="preserve"> отдыха населения. Это отрицательно сказывается на внешней привлекательности и уровне благоустроенности Сущевского сельского поселения в целом.</w:t>
      </w:r>
    </w:p>
    <w:p w:rsidR="00DA4CC9" w:rsidRDefault="00A81108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 проблем.</w:t>
      </w:r>
    </w:p>
    <w:p w:rsidR="00DA4CC9" w:rsidRDefault="00A81108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 xml:space="preserve"> В населенных  пунктах  Сущевского </w:t>
      </w:r>
      <w:r>
        <w:rPr>
          <w:sz w:val="28"/>
          <w:szCs w:val="28"/>
          <w:lang w:eastAsia="ru-RU"/>
        </w:rPr>
        <w:t>сельского поселения функционирует уличное освещение. Для организации бесперебойного уличного освещения в населенных пунктах Сущевского  сельского поселения необходимо ежемесячно оплачивать потребленную электроэнергию для нужд уличного освещения, систематич</w:t>
      </w:r>
      <w:r>
        <w:rPr>
          <w:sz w:val="28"/>
          <w:szCs w:val="28"/>
          <w:lang w:eastAsia="ru-RU"/>
        </w:rPr>
        <w:t xml:space="preserve">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</w:t>
      </w:r>
      <w:r>
        <w:rPr>
          <w:color w:val="191919"/>
          <w:sz w:val="28"/>
          <w:szCs w:val="28"/>
          <w:lang w:eastAsia="ru-RU"/>
        </w:rPr>
        <w:t>диодные (энергосберегающие) светильники.</w:t>
      </w:r>
    </w:p>
    <w:p w:rsidR="00DA4CC9" w:rsidRDefault="00A8110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контейнерных площадок, размещенных на терр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тории Сущевского сельского поселения, не соответствует указанным требован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ям. Это приводит к попаданию бытовых (коммунальных) отходов на поч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ву и разносу отходов ветром. Кроме того, ранее оборудованные площадки, период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чески повреждаются в результате ненадлежащей эксплуатации специализир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ванным перевозчиком. В связи с изложенным, имеется необходимость 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ществления регулярных работ по </w:t>
      </w:r>
      <w:r>
        <w:rPr>
          <w:rFonts w:cs="Times New Roman"/>
          <w:kern w:val="0"/>
          <w:sz w:val="28"/>
          <w:szCs w:val="28"/>
          <w:lang w:eastAsia="ru-RU"/>
        </w:rPr>
        <w:t>ремонту и</w:t>
      </w:r>
      <w:r>
        <w:rPr>
          <w:rFonts w:cs="Times New Roman"/>
          <w:kern w:val="0"/>
          <w:sz w:val="28"/>
          <w:szCs w:val="28"/>
          <w:lang w:eastAsia="ru-RU"/>
        </w:rPr>
        <w:t xml:space="preserve"> благоустройству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eastAsia="ru-RU"/>
        </w:rPr>
        <w:t>контейнерных площадок.</w:t>
      </w:r>
    </w:p>
    <w:p w:rsidR="00DA4CC9" w:rsidRDefault="00A81108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на принимаемые меры, растет количество несанкционированных свалок мусора и бытовых отходов. Поэтому в  муниципальной программе необходимо предусмотреть мероприятия по ликвидации несанкционированных свалок в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DA4CC9" w:rsidRDefault="00A81108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находятся в состоянии угрожающем жизни 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ысохшие деревья увеличивают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необходимо </w:t>
      </w:r>
      <w:r>
        <w:rPr>
          <w:rFonts w:cs="Times New Roman"/>
          <w:sz w:val="28"/>
          <w:szCs w:val="28"/>
        </w:rPr>
        <w:t xml:space="preserve">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поддержания и улучшения санитарного и эстетического состояния, в целях пожарной безопасности,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</w:t>
      </w:r>
      <w:r>
        <w:rPr>
          <w:rFonts w:cs="Times New Roman"/>
          <w:sz w:val="28"/>
          <w:szCs w:val="28"/>
          <w:lang w:val="ru-RU"/>
        </w:rPr>
        <w:t>иях общего пользования в населенных пунктах Сущевского сельского поселения.</w:t>
      </w:r>
    </w:p>
    <w:p w:rsidR="00DA4CC9" w:rsidRDefault="00A811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настоящее время на территории Сущевского сельского поселения   распространяется борщевик Сосновского, представляя серьезную опасность для здоровья населения. Площадь террито</w:t>
      </w:r>
      <w:r>
        <w:rPr>
          <w:rFonts w:cs="Times New Roman"/>
          <w:sz w:val="28"/>
          <w:szCs w:val="28"/>
          <w:lang w:val="ru-RU"/>
        </w:rPr>
        <w:t>рий, где произрастает борщевик  Сосновского, 6 гектаров.   Непринятие своевременных мер по борьбе с ним приведет к  увеличению засоренных борщевиком площадей, обострению экологической ситуации. Необходимо систематически проводить обработку зараженных терри</w:t>
      </w:r>
      <w:r>
        <w:rPr>
          <w:rFonts w:cs="Times New Roman"/>
          <w:sz w:val="28"/>
          <w:szCs w:val="28"/>
          <w:lang w:val="ru-RU"/>
        </w:rPr>
        <w:t>торий от  борщевика Сосновского.</w:t>
      </w:r>
    </w:p>
    <w:p w:rsidR="00DA4CC9" w:rsidRDefault="00A81108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</w:t>
      </w:r>
      <w:r>
        <w:rPr>
          <w:rFonts w:eastAsia="Lucida Sans Unicode" w:cs="Times New Roman"/>
          <w:sz w:val="28"/>
          <w:szCs w:val="28"/>
          <w:lang w:val="ru-RU"/>
        </w:rPr>
        <w:t>й детских площадок, 4-х домов культуры, хоккейный клуб «Искра» Сущевского сельского поселения, площадью 1,98 гектара.</w:t>
      </w:r>
    </w:p>
    <w:p w:rsidR="00DA4CC9" w:rsidRDefault="00A81108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кладбище, площадью 2,5 гектара. Кладбище также необходимо  благ</w:t>
      </w:r>
      <w:r>
        <w:rPr>
          <w:rFonts w:eastAsia="Lucida Sans Unicode" w:cs="Times New Roman"/>
          <w:sz w:val="28"/>
          <w:szCs w:val="28"/>
          <w:lang w:val="ru-RU"/>
        </w:rPr>
        <w:t>оустраивать: проводить акарицидную обработку от клеща, обработку от борщевика  Сосновского, проводить окос территории кладбища.</w:t>
      </w:r>
    </w:p>
    <w:p w:rsidR="00DA4CC9" w:rsidRDefault="00A81108">
      <w:pPr>
        <w:pStyle w:val="Standard"/>
        <w:suppressAutoHyphens w:val="0"/>
        <w:jc w:val="both"/>
      </w:pPr>
      <w:r>
        <w:rPr>
          <w:rFonts w:eastAsia="Calibri"/>
          <w:color w:val="00000A"/>
          <w:sz w:val="28"/>
        </w:rPr>
        <w:t xml:space="preserve">     </w:t>
      </w:r>
      <w:r>
        <w:rPr>
          <w:rFonts w:eastAsia="Calibri"/>
          <w:color w:val="00000A"/>
          <w:sz w:val="28"/>
          <w:lang w:val="ru-RU"/>
        </w:rPr>
        <w:t>На  территории  Сущевского  сельского  поселения  расположен памятник в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>инам, погибшим в Великой Отечественной войне 1941-1</w:t>
      </w:r>
      <w:r>
        <w:rPr>
          <w:rFonts w:eastAsia="Calibri"/>
          <w:color w:val="00000A"/>
          <w:sz w:val="28"/>
          <w:lang w:val="ru-RU"/>
        </w:rPr>
        <w:t>945 годов - в с.Сущево. В 2020 году будут проводится мероприятия, посвященные 75 годовщине Победы в Великой Отечественной войне 1941-1945 годов. В с.Сущево планируется пр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>вести косметический ремонт  памятника.</w:t>
      </w:r>
    </w:p>
    <w:p w:rsidR="00DA4CC9" w:rsidRDefault="00A81108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Одной из проблем благоустройства </w:t>
      </w:r>
      <w:r>
        <w:rPr>
          <w:sz w:val="28"/>
          <w:szCs w:val="28"/>
        </w:rPr>
        <w:t>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</w:t>
      </w:r>
      <w:r>
        <w:rPr>
          <w:sz w:val="28"/>
          <w:szCs w:val="28"/>
        </w:rPr>
        <w:t>лей населенных пунктов на улицах и во дворах, не бережном отношении к элементам благоустройства.</w:t>
      </w:r>
    </w:p>
    <w:p w:rsidR="00DA4CC9" w:rsidRDefault="00A81108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всех форм собственности, с привлечением ТОСов </w:t>
      </w:r>
      <w:r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 организовать и провести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DA4CC9" w:rsidRDefault="00A81108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решены в полном объеме в связи с недостаточным финансиров</w:t>
      </w:r>
      <w:r>
        <w:rPr>
          <w:sz w:val="28"/>
          <w:szCs w:val="28"/>
          <w:lang w:eastAsia="ru-RU"/>
        </w:rPr>
        <w:t>анием. Эти проблемы не могут быть решены в пределах одного финансового года, поскольку требуют значительных бюджетных расходов.</w:t>
      </w:r>
    </w:p>
    <w:p w:rsidR="00DA4CC9" w:rsidRDefault="00A81108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территори</w:t>
      </w:r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не приводят к д</w:t>
      </w:r>
      <w:r>
        <w:rPr>
          <w:sz w:val="28"/>
          <w:szCs w:val="28"/>
        </w:rPr>
        <w:t>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DA4CC9" w:rsidRDefault="00A81108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r>
        <w:rPr>
          <w:sz w:val="28"/>
          <w:szCs w:val="28"/>
        </w:rPr>
        <w:t>необходим посл</w:t>
      </w:r>
      <w:r>
        <w:rPr>
          <w:sz w:val="28"/>
          <w:szCs w:val="28"/>
        </w:rPr>
        <w:t>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A4CC9" w:rsidRDefault="00A81108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проблемы окажет пол</w:t>
      </w:r>
      <w:r>
        <w:rPr>
          <w:rFonts w:cs="Times New Roman"/>
          <w:sz w:val="28"/>
          <w:szCs w:val="28"/>
        </w:rPr>
        <w:t>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4CC9" w:rsidRDefault="00A8110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 риском в реализации программы является уменьшение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DA4CC9" w:rsidRDefault="00A8110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</w:t>
      </w:r>
      <w:r>
        <w:rPr>
          <w:rFonts w:ascii="Times New Roman" w:hAnsi="Times New Roman" w:cs="Times New Roman"/>
          <w:sz w:val="28"/>
          <w:szCs w:val="28"/>
          <w:lang w:val="ru-RU"/>
        </w:rPr>
        <w:t>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4CC9" w:rsidRDefault="00A81108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Сущевского сельского поселения, комфортного проживания жителей, более рационально использовать бюджетные средства и привлечь финансовые ресурсы из других</w:t>
      </w:r>
      <w:r>
        <w:rPr>
          <w:rFonts w:ascii="Times New Roman" w:hAnsi="Times New Roman"/>
          <w:sz w:val="28"/>
          <w:szCs w:val="28"/>
        </w:rPr>
        <w:t xml:space="preserve"> источников.</w:t>
      </w:r>
    </w:p>
    <w:p w:rsidR="00DA4CC9" w:rsidRDefault="00DA4CC9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DA4CC9" w:rsidRDefault="00A81108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</w:t>
      </w:r>
    </w:p>
    <w:p w:rsidR="00DA4CC9" w:rsidRDefault="00DA4CC9">
      <w:pPr>
        <w:pStyle w:val="Standard"/>
        <w:autoSpaceDE w:val="0"/>
        <w:jc w:val="center"/>
      </w:pPr>
    </w:p>
    <w:p w:rsidR="00DA4CC9" w:rsidRDefault="00A81108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DA4CC9" w:rsidRDefault="00A81108">
      <w:pPr>
        <w:pStyle w:val="Standard"/>
        <w:autoSpaceDE w:val="0"/>
        <w:jc w:val="center"/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DA4CC9" w:rsidRDefault="00A81108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DA4CC9" w:rsidRDefault="00DA4CC9">
      <w:pPr>
        <w:pStyle w:val="Standard"/>
        <w:jc w:val="right"/>
        <w:rPr>
          <w:sz w:val="28"/>
          <w:szCs w:val="28"/>
        </w:rPr>
      </w:pPr>
    </w:p>
    <w:p w:rsidR="00DA4CC9" w:rsidRDefault="00DA4CC9">
      <w:pPr>
        <w:pStyle w:val="Standard"/>
        <w:jc w:val="right"/>
        <w:rPr>
          <w:sz w:val="28"/>
          <w:szCs w:val="28"/>
        </w:rPr>
      </w:pPr>
    </w:p>
    <w:p w:rsidR="00DA4CC9" w:rsidRDefault="00A8110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>
              <w:t xml:space="preserve"> год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   территории    Сущевского сельского поселения Костромского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муниципального района Костромской области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пунктов, обеспеченных надлежащим техническим состоянием сетей </w:t>
            </w:r>
            <w:r>
              <w:rPr>
                <w:rFonts w:eastAsia="SimSun" w:cs="Times New Roman"/>
                <w:bCs/>
                <w:lang w:val="ru-RU" w:eastAsia="ar-SA"/>
              </w:rPr>
              <w:t>(объектов)  уличного освещения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DA4CC9" w:rsidRDefault="00DA4CC9">
            <w:pPr>
              <w:pStyle w:val="TableContents"/>
              <w:jc w:val="center"/>
              <w:rPr>
                <w:lang w:val="ru-RU"/>
              </w:rPr>
            </w:pP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DA4CC9" w:rsidRDefault="00DA4CC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DA4CC9" w:rsidRDefault="00DA4CC9">
            <w:pPr>
              <w:pStyle w:val="TableContents"/>
              <w:jc w:val="center"/>
              <w:rPr>
                <w:lang w:val="ru-RU"/>
              </w:rPr>
            </w:pP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DA4CC9" w:rsidRDefault="00DA4CC9">
            <w:pPr>
              <w:pStyle w:val="TableContents"/>
              <w:jc w:val="center"/>
              <w:rPr>
                <w:lang w:val="ru-RU"/>
              </w:rPr>
            </w:pP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д.Жданово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д.Иванищево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DA4CC9" w:rsidRDefault="00DA4CC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000000" w:rsidRDefault="00A81108">
      <w:pPr>
        <w:sectPr w:rsidR="00000000">
          <w:pgSz w:w="11906" w:h="16838"/>
          <w:pgMar w:top="1134" w:right="850" w:bottom="1134" w:left="1276" w:header="720" w:footer="720" w:gutter="0"/>
          <w:cols w:space="720"/>
        </w:sectPr>
      </w:pPr>
    </w:p>
    <w:p w:rsidR="00DA4CC9" w:rsidRDefault="00DA4CC9">
      <w:pPr>
        <w:pStyle w:val="Standard"/>
        <w:jc w:val="both"/>
        <w:rPr>
          <w:rFonts w:cs="Times New Roman"/>
          <w:sz w:val="28"/>
          <w:szCs w:val="28"/>
        </w:rPr>
      </w:pPr>
    </w:p>
    <w:p w:rsidR="00DA4CC9" w:rsidRDefault="00A8110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A4CC9" w:rsidRDefault="00A81108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DA4CC9" w:rsidRDefault="00A81108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сельского поселения на 2021-2023 годы</w:t>
      </w:r>
    </w:p>
    <w:p w:rsidR="00DA4CC9" w:rsidRDefault="00DA4CC9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DA4CC9" w:rsidRDefault="00A81108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7027,045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1555,0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2643,5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2828,545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4452,882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1555,0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2643,5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2828,545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DA4CC9" w:rsidRDefault="00A811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«Ремонт системы уличного 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ремонта системы уличного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освещения населенных пунктов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обслуживания приборов учета электроэнергии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«Приобретение материальных запасов </w:t>
            </w:r>
            <w:r>
              <w:rPr>
                <w:rFonts w:cs="Times New Roman"/>
                <w:sz w:val="20"/>
                <w:szCs w:val="20"/>
                <w:lang w:val="ru-RU"/>
              </w:rPr>
              <w:t>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(светильники, оборудование)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Произведение оплаты потребляемой электрической энергии для нужд уличного освещения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</w:t>
            </w:r>
            <w:r>
              <w:rPr>
                <w:rFonts w:cs="Times New Roman"/>
                <w:sz w:val="20"/>
                <w:szCs w:val="20"/>
                <w:lang w:val="ru-RU"/>
              </w:rPr>
              <w:t>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  <w:r>
              <w:rPr>
                <w:rFonts w:cs="Times New Roman"/>
                <w:sz w:val="20"/>
                <w:szCs w:val="20"/>
                <w:lang w:val="ru-RU"/>
              </w:rPr>
              <w:t>«Уборка территории, обочин, контейнерных площадок, ограждение контейнерных площадок, очистка снега у мемориала»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741,031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828,50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718,545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ручной уборки обочин и улиц Сущевского сельского поселения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741,031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828,50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718,545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Снос аварийных деревьев и </w:t>
            </w:r>
            <w:r>
              <w:rPr>
                <w:rFonts w:cs="Times New Roman"/>
                <w:sz w:val="20"/>
                <w:szCs w:val="20"/>
                <w:lang w:val="ru-RU"/>
              </w:rPr>
              <w:t>санитарная обрезка на территории населенных пунктов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населенных пунктов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</w:t>
            </w:r>
            <w:r>
              <w:rPr>
                <w:rFonts w:cs="Times New Roman"/>
                <w:sz w:val="20"/>
                <w:szCs w:val="20"/>
                <w:lang w:val="ru-RU"/>
              </w:rPr>
              <w:t>обработка территорий детских площадок, 4-х домов культуры, хоккейный клуб «Искра»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акарицидной обработки детских площадок, 4-х домов культуры, хоккейный клуб «Искра» Сущевского сельского посе</w:t>
            </w:r>
            <w:r>
              <w:rPr>
                <w:rFonts w:cs="Times New Roman"/>
                <w:sz w:val="20"/>
                <w:szCs w:val="20"/>
                <w:lang w:val="ru-RU"/>
              </w:rPr>
              <w:t>ления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акарицидной обработки территории   кладбища  от клеща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1.2.1</w:t>
            </w:r>
            <w:r>
              <w:rPr>
                <w:lang w:val="ru-RU"/>
              </w:rPr>
              <w:t>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хозяйственных </w:t>
            </w:r>
            <w:r>
              <w:rPr>
                <w:rFonts w:eastAsia="Calibri"/>
                <w:color w:val="00000A"/>
                <w:lang w:val="ru-RU"/>
              </w:rPr>
              <w:t>материалов (ведра, краска, кисти, перчатки, мешки для мусора, 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Standard"/>
            </w:pPr>
            <w:r>
              <w:t>1.2.13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кладбища»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кладбища</w:t>
            </w:r>
          </w:p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  <w:tr w:rsidR="00DA4CC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A8110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CC9" w:rsidRDefault="00DA4CC9"/>
        </w:tc>
      </w:tr>
    </w:tbl>
    <w:p w:rsidR="00DA4CC9" w:rsidRDefault="00DA4CC9">
      <w:pPr>
        <w:pStyle w:val="Standard"/>
        <w:jc w:val="both"/>
        <w:rPr>
          <w:rFonts w:cs="Times New Roman"/>
          <w:sz w:val="28"/>
          <w:szCs w:val="28"/>
        </w:rPr>
      </w:pPr>
    </w:p>
    <w:p w:rsidR="00DA4CC9" w:rsidRDefault="00A81108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 w:rsidR="00DA4CC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08" w:rsidRDefault="00A81108">
      <w:r>
        <w:separator/>
      </w:r>
    </w:p>
  </w:endnote>
  <w:endnote w:type="continuationSeparator" w:id="0">
    <w:p w:rsidR="00A81108" w:rsidRDefault="00A8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08" w:rsidRDefault="00A81108">
      <w:r>
        <w:rPr>
          <w:color w:val="000000"/>
        </w:rPr>
        <w:separator/>
      </w:r>
    </w:p>
  </w:footnote>
  <w:footnote w:type="continuationSeparator" w:id="0">
    <w:p w:rsidR="00A81108" w:rsidRDefault="00A8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46"/>
    <w:multiLevelType w:val="multilevel"/>
    <w:tmpl w:val="CACEB860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B53977"/>
    <w:multiLevelType w:val="multilevel"/>
    <w:tmpl w:val="9DE27F66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8949E2"/>
    <w:multiLevelType w:val="multilevel"/>
    <w:tmpl w:val="7072327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1517422"/>
    <w:multiLevelType w:val="multilevel"/>
    <w:tmpl w:val="3C2CCBD4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9DD70D5"/>
    <w:multiLevelType w:val="multilevel"/>
    <w:tmpl w:val="E714A644"/>
    <w:lvl w:ilvl="0">
      <w:start w:val="1"/>
      <w:numFmt w:val="decimal"/>
      <w:lvlText w:val="%1."/>
      <w:lvlJc w:val="left"/>
      <w:pPr>
        <w:ind w:left="1185" w:hanging="585"/>
      </w:pPr>
      <w:rPr>
        <w:rFonts w:eastAsia="Andale Sans UI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CC9"/>
    <w:rsid w:val="005634F0"/>
    <w:rsid w:val="00A81108"/>
    <w:rsid w:val="00D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2020-11-13T11:47:00Z</cp:lastPrinted>
  <dcterms:created xsi:type="dcterms:W3CDTF">2021-02-09T11:58:00Z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