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CA" w:rsidRDefault="00CD52CA">
      <w:pPr>
        <w:pStyle w:val="Standard"/>
        <w:jc w:val="center"/>
      </w:pPr>
      <w:bookmarkStart w:id="0" w:name="_GoBack"/>
      <w:bookmarkEnd w:id="0"/>
    </w:p>
    <w:p w:rsidR="00CD52CA" w:rsidRDefault="005439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CD52CA" w:rsidRDefault="005439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CD52CA" w:rsidRDefault="0054392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CD52CA" w:rsidRDefault="00CD52C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D52CA" w:rsidRDefault="0054392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 С Т А Н О В Л Е Н И Е</w:t>
      </w:r>
    </w:p>
    <w:p w:rsidR="00CD52CA" w:rsidRDefault="00CD52C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D52CA" w:rsidRDefault="00543924">
      <w:pPr>
        <w:pStyle w:val="Standard"/>
      </w:pPr>
      <w:r>
        <w:rPr>
          <w:rFonts w:cs="Times New Roman"/>
          <w:sz w:val="28"/>
          <w:szCs w:val="28"/>
          <w:lang w:val="ru-RU"/>
        </w:rPr>
        <w:t>от 30 октября</w:t>
      </w:r>
      <w:r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  <w:lang w:val="ru-RU"/>
        </w:rPr>
        <w:t>76</w:t>
      </w:r>
      <w:r>
        <w:rPr>
          <w:rFonts w:cs="Times New Roman"/>
          <w:sz w:val="28"/>
          <w:szCs w:val="28"/>
        </w:rPr>
        <w:t xml:space="preserve">                                                         </w:t>
      </w:r>
    </w:p>
    <w:p w:rsidR="00CD52CA" w:rsidRDefault="00CD52CA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5247"/>
      </w:tblGrid>
      <w:tr w:rsidR="00CD52CA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 xml:space="preserve">Об утверждении Муниципальной программы «Прочие мероприятия по благоустройству Сущевского сельского поселения на 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2021-2023 годы»</w:t>
            </w:r>
          </w:p>
        </w:tc>
        <w:tc>
          <w:tcPr>
            <w:tcW w:w="5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CD52CA" w:rsidRDefault="00CD52CA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CD52CA" w:rsidRDefault="00543924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В  соответствии  со  статьей 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r>
        <w:rPr>
          <w:rFonts w:cs="Times New Roman"/>
          <w:sz w:val="28"/>
          <w:szCs w:val="28"/>
          <w:lang w:val="ru-RU"/>
        </w:rPr>
        <w:t xml:space="preserve">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CD52CA" w:rsidRDefault="00543924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eastAsia="Calibri" w:cs="Times New Roman"/>
          <w:sz w:val="28"/>
          <w:szCs w:val="28"/>
          <w:lang w:val="ru-RU" w:eastAsia="ru-RU"/>
        </w:rPr>
        <w:t xml:space="preserve">       администрация ПОСТАНОВЛЯЕТ:</w:t>
      </w:r>
    </w:p>
    <w:p w:rsidR="00CD52CA" w:rsidRDefault="0054392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1.  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Утвердить </w:t>
      </w:r>
      <w:r>
        <w:rPr>
          <w:rFonts w:eastAsia="Arial" w:cs="Times New Roman"/>
          <w:sz w:val="28"/>
          <w:szCs w:val="28"/>
          <w:lang w:val="ru-RU"/>
        </w:rPr>
        <w:t>Муниципальную программу 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Прочие мероприятия по благоустройству Сущевского сельского поселения на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2021-2023 годы</w:t>
      </w:r>
      <w:r>
        <w:rPr>
          <w:rFonts w:eastAsia="Arial" w:cs="Times New Roman"/>
          <w:sz w:val="28"/>
          <w:szCs w:val="28"/>
          <w:lang w:val="ru-RU"/>
        </w:rPr>
        <w:t>»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 (Приложение).</w:t>
      </w:r>
    </w:p>
    <w:p w:rsidR="00CD52CA" w:rsidRDefault="00543924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2.  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выполнением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оставляю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собой</w:t>
      </w:r>
      <w:proofErr w:type="spellEnd"/>
      <w:r>
        <w:rPr>
          <w:rFonts w:cs="Times New Roman"/>
          <w:sz w:val="28"/>
          <w:szCs w:val="28"/>
        </w:rPr>
        <w:t>.</w:t>
      </w:r>
    </w:p>
    <w:p w:rsidR="00CD52CA" w:rsidRDefault="0054392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3.  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публикуется в общественно-политическом издании «Депутатский вестник»,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Сущевского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 xml:space="preserve"> и вступает в силу с 01 января 2021 года.</w:t>
      </w:r>
    </w:p>
    <w:p w:rsidR="00CD52CA" w:rsidRDefault="0054392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CD52CA" w:rsidRDefault="00CD52CA">
      <w:pPr>
        <w:pStyle w:val="Standard"/>
        <w:jc w:val="both"/>
        <w:rPr>
          <w:sz w:val="28"/>
          <w:szCs w:val="28"/>
        </w:rPr>
      </w:pPr>
    </w:p>
    <w:p w:rsidR="00CD52CA" w:rsidRDefault="00CD52CA">
      <w:pPr>
        <w:pStyle w:val="Standard"/>
        <w:jc w:val="both"/>
        <w:rPr>
          <w:sz w:val="28"/>
          <w:szCs w:val="28"/>
          <w:lang w:val="ru-RU"/>
        </w:rPr>
      </w:pPr>
    </w:p>
    <w:p w:rsidR="00CD52CA" w:rsidRDefault="00CD52CA">
      <w:pPr>
        <w:pStyle w:val="Standard"/>
        <w:jc w:val="both"/>
        <w:rPr>
          <w:sz w:val="28"/>
          <w:szCs w:val="28"/>
          <w:lang w:val="ru-RU"/>
        </w:rPr>
      </w:pPr>
    </w:p>
    <w:p w:rsidR="00CD52CA" w:rsidRDefault="00543924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lang w:val="ru-RU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      И.А. </w:t>
      </w:r>
      <w:proofErr w:type="spellStart"/>
      <w:r>
        <w:rPr>
          <w:sz w:val="28"/>
          <w:szCs w:val="28"/>
        </w:rPr>
        <w:t>Аристова</w:t>
      </w:r>
      <w:proofErr w:type="spellEnd"/>
    </w:p>
    <w:p w:rsidR="00CD52CA" w:rsidRDefault="00CD52CA">
      <w:pPr>
        <w:pStyle w:val="Standard"/>
        <w:jc w:val="both"/>
      </w:pPr>
    </w:p>
    <w:p w:rsidR="00CD52CA" w:rsidRDefault="005439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</w:t>
      </w:r>
    </w:p>
    <w:p w:rsidR="00CD52CA" w:rsidRDefault="00CD52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2CA" w:rsidRDefault="00CD52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2CA" w:rsidRDefault="00CD52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2CA" w:rsidRDefault="00CD52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2CA" w:rsidRDefault="00CD52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2CA" w:rsidRDefault="00CD52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2CA" w:rsidRDefault="00CD52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52CA" w:rsidRDefault="0054392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</w:p>
    <w:p w:rsidR="00CD52CA" w:rsidRDefault="0054392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Приложение</w:t>
      </w:r>
    </w:p>
    <w:p w:rsidR="00CD52CA" w:rsidRDefault="0054392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к постановлению администрации</w:t>
      </w:r>
    </w:p>
    <w:p w:rsidR="00CD52CA" w:rsidRDefault="0054392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Сущевского сельского поселения  </w:t>
      </w:r>
    </w:p>
    <w:p w:rsidR="00CD52CA" w:rsidRDefault="00543924">
      <w:pPr>
        <w:pStyle w:val="Standard"/>
        <w:tabs>
          <w:tab w:val="left" w:pos="709"/>
        </w:tabs>
        <w:jc w:val="both"/>
      </w:pPr>
      <w:r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                              от 30 октября 2020  года    № 76   </w:t>
      </w:r>
    </w:p>
    <w:p w:rsidR="00CD52CA" w:rsidRDefault="00543924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CD52CA" w:rsidRDefault="00543924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CD52CA" w:rsidRDefault="00CD52CA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CD52CA" w:rsidRDefault="00CD52CA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CD52CA" w:rsidRDefault="00543924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CD52CA" w:rsidRDefault="00543924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Прочие мероприятия по благоустрой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ству Сущевского сельского поселения</w:t>
      </w:r>
    </w:p>
    <w:p w:rsidR="00CD52CA" w:rsidRDefault="00543924">
      <w:pPr>
        <w:pStyle w:val="Standard"/>
        <w:tabs>
          <w:tab w:val="left" w:pos="709"/>
        </w:tabs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CD52CA" w:rsidRDefault="00CD52CA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CD52CA" w:rsidRDefault="00543924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CD52CA" w:rsidRDefault="00543924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Прочие мероприятия по благоустройству Сущевского сельского поселения</w:t>
      </w:r>
    </w:p>
    <w:p w:rsidR="00CD52CA" w:rsidRDefault="00543924">
      <w:pPr>
        <w:pStyle w:val="Standard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CD52CA" w:rsidRDefault="00CD52CA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CD52CA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</w:t>
            </w:r>
            <w:r>
              <w:rPr>
                <w:rFonts w:cs="Times New Roman"/>
                <w:sz w:val="28"/>
                <w:szCs w:val="28"/>
              </w:rPr>
              <w:t>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Повышение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уровня благоустройства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территори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и</w:t>
            </w: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  <w:p w:rsidR="00CD52CA" w:rsidRDefault="00543924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D52CA" w:rsidRDefault="00543924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CD52CA" w:rsidRDefault="00543924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sz w:val="28"/>
                <w:szCs w:val="28"/>
                <w:lang w:val="ru-RU" w:eastAsia="ar-SA"/>
              </w:rPr>
              <w:t>Обеспечение надлежащего технического состояния сетей, объектов уличного освещения населенных пунктов.</w:t>
            </w:r>
          </w:p>
          <w:p w:rsidR="00CD52CA" w:rsidRDefault="00543924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Улучшение санитарного и эстетического состояния территории  поселения, повышения комфортности условий проживания для жителей поселения.</w:t>
            </w:r>
          </w:p>
          <w:p w:rsidR="00CD52CA" w:rsidRDefault="00543924">
            <w:pPr>
              <w:pStyle w:val="Standard"/>
              <w:jc w:val="both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3.  </w:t>
            </w:r>
            <w:r>
              <w:rPr>
                <w:rFonts w:eastAsia="Times New Roman" w:cs="Times New Roman"/>
                <w:color w:val="191919"/>
                <w:sz w:val="28"/>
                <w:szCs w:val="28"/>
                <w:lang w:val="ru-RU"/>
              </w:rPr>
              <w:t>Привлечение</w:t>
            </w:r>
            <w:r>
              <w:rPr>
                <w:rFonts w:eastAsia="Times New Roman" w:cs="Times New Roman"/>
                <w:color w:val="191919"/>
                <w:sz w:val="28"/>
                <w:szCs w:val="28"/>
                <w:lang w:val="ru-RU"/>
              </w:rPr>
              <w:t xml:space="preserve"> жителей к участию в благоустройстве территории.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2021-2023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7027,045 тыс. рублей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1 555,0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2 643,5 т</w:t>
            </w:r>
            <w:r>
              <w:rPr>
                <w:sz w:val="28"/>
                <w:szCs w:val="28"/>
              </w:rPr>
              <w:t>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2 828,545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 0,00 тыс. рублей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</w:t>
            </w:r>
            <w:r>
              <w:rPr>
                <w:sz w:val="28"/>
                <w:szCs w:val="28"/>
              </w:rPr>
              <w:t>числе: (по годам реализации)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 7027,045 тыс. рублей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1 555,0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2643,5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>год — 2828,545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рублей.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>(ы)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D52CA" w:rsidRDefault="0054392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отсутствуют</w:t>
            </w:r>
          </w:p>
        </w:tc>
      </w:tr>
    </w:tbl>
    <w:p w:rsidR="00CD52CA" w:rsidRDefault="00CD52CA">
      <w:pPr>
        <w:pStyle w:val="Standard"/>
        <w:autoSpaceDE w:val="0"/>
        <w:jc w:val="both"/>
        <w:rPr>
          <w:sz w:val="28"/>
          <w:szCs w:val="28"/>
        </w:rPr>
      </w:pPr>
    </w:p>
    <w:p w:rsidR="00CD52CA" w:rsidRDefault="00543924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CD52CA" w:rsidRDefault="00543924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 В  соответствии с п.19 ч.1, ч. 3 ст.14,   Федерального закона от </w:t>
      </w:r>
      <w:r>
        <w:rPr>
          <w:rFonts w:cs="Times New Roman"/>
          <w:sz w:val="28"/>
          <w:szCs w:val="28"/>
          <w:lang w:val="ru-RU"/>
        </w:rPr>
        <w:t xml:space="preserve">06.10.2003 № 131-ФЗ «Об общих принципах организации </w:t>
      </w:r>
      <w:r>
        <w:rPr>
          <w:rFonts w:cs="Times New Roman"/>
          <w:sz w:val="28"/>
          <w:szCs w:val="28"/>
          <w:lang w:val="ru-RU"/>
        </w:rPr>
        <w:t>местного самоуправления в Российской Федерации» к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вопросам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сельского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относятся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 </w:t>
      </w:r>
      <w:proofErr w:type="spellStart"/>
      <w:r>
        <w:rPr>
          <w:sz w:val="28"/>
          <w:szCs w:val="28"/>
        </w:rPr>
        <w:t>правилами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>.</w:t>
      </w:r>
    </w:p>
    <w:p w:rsidR="00CD52CA" w:rsidRDefault="00543924">
      <w:pPr>
        <w:pStyle w:val="Standard"/>
        <w:suppressAutoHyphens w:val="0"/>
        <w:autoSpaceDE w:val="0"/>
        <w:ind w:firstLine="540"/>
        <w:jc w:val="both"/>
      </w:pPr>
      <w:r>
        <w:rPr>
          <w:rFonts w:eastAsia="Calibri" w:cs="Times New Roman"/>
          <w:color w:val="00000A"/>
          <w:sz w:val="28"/>
          <w:szCs w:val="28"/>
          <w:lang w:val="ru-RU"/>
        </w:rPr>
        <w:t>Б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лагоустройство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Calibri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color w:val="00000A"/>
          <w:sz w:val="28"/>
          <w:szCs w:val="28"/>
        </w:rPr>
        <w:t>посе</w:t>
      </w:r>
      <w:r>
        <w:rPr>
          <w:rFonts w:eastAsia="Calibri" w:cs="Times New Roman"/>
          <w:color w:val="00000A"/>
          <w:sz w:val="28"/>
          <w:szCs w:val="28"/>
        </w:rPr>
        <w:t>ления</w:t>
      </w:r>
      <w:proofErr w:type="spellEnd"/>
      <w:r>
        <w:rPr>
          <w:rFonts w:eastAsia="Calibri" w:cs="Times New Roman"/>
          <w:b/>
          <w:color w:val="00000A"/>
          <w:sz w:val="28"/>
          <w:szCs w:val="28"/>
        </w:rPr>
        <w:t xml:space="preserve"> </w:t>
      </w:r>
      <w:r>
        <w:rPr>
          <w:rFonts w:eastAsia="Calibri" w:cs="Times New Roman"/>
          <w:color w:val="00000A"/>
          <w:sz w:val="28"/>
          <w:szCs w:val="28"/>
        </w:rPr>
        <w:t xml:space="preserve">–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деятельность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реализации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комплекса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мероприятий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установленного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правилами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благоустройства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направленная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обеспечение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повышение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комфортности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условий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проживания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граждан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поддержанию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улучшению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санитарного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эстетического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состояния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содержанию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населенных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пунктов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муниципальных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образований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Костромской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области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расположенных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на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таких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территориях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объектов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в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том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числе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общего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пользования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земельных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участков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зданий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строений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сооружений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прилегающих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A"/>
          <w:sz w:val="28"/>
          <w:szCs w:val="28"/>
        </w:rPr>
        <w:t>территорий</w:t>
      </w:r>
      <w:proofErr w:type="spellEnd"/>
      <w:r>
        <w:rPr>
          <w:rFonts w:eastAsia="Times New Roman" w:cs="Times New Roman"/>
          <w:color w:val="00000A"/>
          <w:sz w:val="28"/>
          <w:szCs w:val="28"/>
        </w:rPr>
        <w:t>.</w:t>
      </w:r>
    </w:p>
    <w:p w:rsidR="00CD52CA" w:rsidRDefault="00543924">
      <w:pPr>
        <w:pStyle w:val="Standard"/>
        <w:autoSpaceDE w:val="0"/>
        <w:ind w:firstLine="540"/>
        <w:jc w:val="both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повышения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привлекательности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внешнего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улучшения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трудовой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отдыха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населения</w:t>
      </w:r>
      <w:proofErr w:type="spellEnd"/>
      <w:r>
        <w:rPr>
          <w:sz w:val="28"/>
          <w:szCs w:val="28"/>
        </w:rPr>
        <w:t>.</w:t>
      </w:r>
    </w:p>
    <w:p w:rsidR="00CD52CA" w:rsidRDefault="00543924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расположено</w:t>
      </w:r>
      <w:proofErr w:type="spellEnd"/>
      <w:r>
        <w:rPr>
          <w:sz w:val="28"/>
          <w:szCs w:val="28"/>
        </w:rPr>
        <w:t xml:space="preserve">  14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более</w:t>
      </w:r>
      <w:proofErr w:type="spellEnd"/>
      <w:r>
        <w:rPr>
          <w:sz w:val="28"/>
          <w:szCs w:val="28"/>
        </w:rPr>
        <w:t xml:space="preserve"> 4468 </w:t>
      </w:r>
      <w:proofErr w:type="spellStart"/>
      <w:r>
        <w:rPr>
          <w:sz w:val="28"/>
          <w:szCs w:val="28"/>
        </w:rPr>
        <w:t>ч</w:t>
      </w:r>
      <w:r>
        <w:rPr>
          <w:sz w:val="28"/>
          <w:szCs w:val="28"/>
        </w:rPr>
        <w:t>еловек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Уровень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качества</w:t>
      </w:r>
      <w:proofErr w:type="spellEnd"/>
      <w:r>
        <w:rPr>
          <w:sz w:val="28"/>
          <w:szCs w:val="28"/>
          <w:lang w:val="ru-RU"/>
        </w:rPr>
        <w:t xml:space="preserve"> среды проживания жителей поселения, а целенаправленная деятельность по формированию благоприятной среды   является одной из задач деятельности органов местного самоуправления</w:t>
      </w:r>
      <w:r>
        <w:rPr>
          <w:sz w:val="28"/>
          <w:szCs w:val="28"/>
          <w:lang w:val="ru-RU"/>
        </w:rPr>
        <w:t xml:space="preserve">  Сущевского сельского поселения.  </w:t>
      </w:r>
    </w:p>
    <w:p w:rsidR="00CD52CA" w:rsidRDefault="00543924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Имеющиеся  объекты  благоустройства,  расположенные на территории Сущевского сельского поселения, не обеспечивают комфортных условий для жизни, деятельности и отдыха населения. Это отрицательно сказывается на внешней п</w:t>
      </w:r>
      <w:r>
        <w:rPr>
          <w:sz w:val="28"/>
          <w:szCs w:val="28"/>
        </w:rPr>
        <w:t>ривлекательности и уровне благоустроенности Сущевского сельского поселения в целом.</w:t>
      </w:r>
    </w:p>
    <w:p w:rsidR="00CD52CA" w:rsidRDefault="00543924">
      <w:pPr>
        <w:pStyle w:val="Default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 вопросах  благоустройства  территории  поселения  имеется  ряд проблем.</w:t>
      </w:r>
    </w:p>
    <w:p w:rsidR="00CD52CA" w:rsidRDefault="00543924">
      <w:pPr>
        <w:pStyle w:val="Default"/>
        <w:widowControl w:val="0"/>
        <w:ind w:firstLine="540"/>
        <w:jc w:val="both"/>
      </w:pPr>
      <w:r>
        <w:rPr>
          <w:sz w:val="28"/>
          <w:szCs w:val="28"/>
          <w:lang w:eastAsia="ru-RU"/>
        </w:rPr>
        <w:t xml:space="preserve"> В населенных  пунктах  Сущевского сельского поселения функционирует уличное освещение. Для орг</w:t>
      </w:r>
      <w:r>
        <w:rPr>
          <w:sz w:val="28"/>
          <w:szCs w:val="28"/>
          <w:lang w:eastAsia="ru-RU"/>
        </w:rPr>
        <w:t>анизации бесперебойного уличного освещения в населенных пунктах Сущевского  сельского поселения необходимо ежемесячно оплачивать потребленную электроэнергию для нужд уличного освещения, систематически проводить работы по ремонту системы уличного освещения,</w:t>
      </w:r>
      <w:r>
        <w:rPr>
          <w:sz w:val="28"/>
          <w:szCs w:val="28"/>
          <w:lang w:eastAsia="ru-RU"/>
        </w:rPr>
        <w:t xml:space="preserve"> обслуживать приборы учета электроэнергии, приобретать материальные запасы (лампы, оборудование). </w:t>
      </w:r>
      <w:r>
        <w:rPr>
          <w:color w:val="191919"/>
          <w:sz w:val="28"/>
          <w:szCs w:val="28"/>
          <w:lang w:eastAsia="ru-RU"/>
        </w:rPr>
        <w:t xml:space="preserve"> В целях повышения </w:t>
      </w:r>
      <w:proofErr w:type="spellStart"/>
      <w:r>
        <w:rPr>
          <w:color w:val="191919"/>
          <w:sz w:val="28"/>
          <w:szCs w:val="28"/>
        </w:rPr>
        <w:t>энергоэффективности</w:t>
      </w:r>
      <w:proofErr w:type="spellEnd"/>
      <w:r>
        <w:rPr>
          <w:color w:val="191919"/>
          <w:sz w:val="28"/>
          <w:szCs w:val="28"/>
        </w:rPr>
        <w:t xml:space="preserve"> необходимо проводить замену ламп на более современные </w:t>
      </w:r>
      <w:r>
        <w:rPr>
          <w:color w:val="191919"/>
          <w:sz w:val="28"/>
          <w:szCs w:val="28"/>
          <w:lang w:eastAsia="ru-RU"/>
        </w:rPr>
        <w:t>светодиодные (энергосберегающие) светильники.</w:t>
      </w:r>
    </w:p>
    <w:p w:rsidR="00CD52CA" w:rsidRDefault="00543924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В настоящее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время часть контейнерных площадок, размещенных на те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ритории Сущевского сельского поселения, не соответствует указанным треб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ваниям. Это приводит к попаданию бытовых (коммунальных) отходов на по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ч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ву и разносу отходов ветром. Кроме того, ранее оборудованные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площадки, п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риодически повреждаются в результате ненадлежащей эксплуатации специ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лизированным перевозчиком. В связи с изложенным, имеется необходимость осуществления регулярных работ по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ремонту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благоустройству</w:t>
      </w:r>
      <w:proofErr w:type="spellEnd"/>
      <w:r>
        <w:rPr>
          <w:rFonts w:cs="Times New Roman"/>
          <w:kern w:val="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контейнерных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kern w:val="0"/>
          <w:sz w:val="28"/>
          <w:szCs w:val="28"/>
          <w:lang w:eastAsia="ru-RU"/>
        </w:rPr>
        <w:t>площадок</w:t>
      </w:r>
      <w:proofErr w:type="spellEnd"/>
      <w:r>
        <w:rPr>
          <w:rFonts w:cs="Times New Roman"/>
          <w:kern w:val="0"/>
          <w:sz w:val="28"/>
          <w:szCs w:val="28"/>
          <w:lang w:eastAsia="ru-RU"/>
        </w:rPr>
        <w:t>.</w:t>
      </w:r>
    </w:p>
    <w:p w:rsidR="00CD52CA" w:rsidRDefault="00543924">
      <w:pPr>
        <w:pStyle w:val="Standard"/>
        <w:autoSpaceDE w:val="0"/>
        <w:ind w:firstLine="540"/>
        <w:jc w:val="both"/>
      </w:pP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 Несмотря на принима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емые меры, растет количество несанкционированных свалок мусора и бытовых отходов. Поэтому в  муниципальной программе необходимо предусмотреть мероприятия по ликвидации несанкционированных свалок в населенных пунктах поселения, в том числе и на кладбище, </w:t>
      </w:r>
      <w:r>
        <w:rPr>
          <w:rFonts w:ascii="Georgia" w:eastAsia="Georgia" w:hAnsi="Georgia" w:cs="Georgia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>т</w:t>
      </w:r>
      <w:r>
        <w:rPr>
          <w:rFonts w:eastAsia="Times New Roman" w:cs="Times New Roman"/>
          <w:color w:val="191919"/>
          <w:sz w:val="28"/>
          <w:szCs w:val="28"/>
          <w:lang w:val="ru-RU" w:eastAsia="ru-RU"/>
        </w:rPr>
        <w:t xml:space="preserve">екущему поддержанию санитарного состояния  территорий общего пользования: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ручная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уборка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191919"/>
          <w:sz w:val="28"/>
          <w:szCs w:val="28"/>
        </w:rPr>
        <w:t>обочин</w:t>
      </w:r>
      <w:proofErr w:type="spellEnd"/>
      <w:r>
        <w:rPr>
          <w:rFonts w:eastAsia="Times New Roman" w:cs="Times New Roman"/>
          <w:color w:val="191919"/>
          <w:sz w:val="28"/>
          <w:szCs w:val="28"/>
        </w:rPr>
        <w:t xml:space="preserve"> и </w:t>
      </w:r>
      <w:r>
        <w:rPr>
          <w:rFonts w:eastAsia="Times New Roman" w:cs="Times New Roman"/>
          <w:color w:val="191919"/>
          <w:sz w:val="28"/>
          <w:szCs w:val="28"/>
          <w:lang w:val="ru-RU"/>
        </w:rPr>
        <w:t>улиц населенных пунктов.</w:t>
      </w:r>
    </w:p>
    <w:p w:rsidR="00CD52CA" w:rsidRDefault="0054392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В </w:t>
      </w:r>
      <w:r>
        <w:rPr>
          <w:rFonts w:cs="Times New Roman"/>
          <w:sz w:val="28"/>
          <w:szCs w:val="28"/>
          <w:lang w:val="ru-RU"/>
        </w:rPr>
        <w:t xml:space="preserve">населенных пунктах Сущевского сельского поселения произрастают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которые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находятся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состоянии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угрожающем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людей</w:t>
      </w:r>
      <w:proofErr w:type="spellEnd"/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  <w:lang w:val="ru-RU"/>
        </w:rPr>
        <w:t xml:space="preserve">аварийные деревья, </w:t>
      </w:r>
      <w:proofErr w:type="spellStart"/>
      <w:r>
        <w:rPr>
          <w:rFonts w:cs="Times New Roman"/>
          <w:sz w:val="28"/>
          <w:szCs w:val="28"/>
        </w:rPr>
        <w:t>кроны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некоторых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усохли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время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порывов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сухие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ветви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падают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большой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высоты</w:t>
      </w:r>
      <w:proofErr w:type="spellEnd"/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>в</w:t>
      </w:r>
      <w:proofErr w:type="spellStart"/>
      <w:r>
        <w:rPr>
          <w:rFonts w:cs="Times New Roman"/>
          <w:sz w:val="28"/>
          <w:szCs w:val="28"/>
        </w:rPr>
        <w:t>ысохшие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увеличивают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опасность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возникновения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пожаров</w:t>
      </w:r>
      <w:proofErr w:type="spellEnd"/>
      <w:r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  <w:lang w:val="ru-RU"/>
        </w:rPr>
        <w:t>Поэтому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необходимо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бюджете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учитывать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денежные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средства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спил, </w:t>
      </w:r>
      <w:proofErr w:type="spellStart"/>
      <w:r>
        <w:rPr>
          <w:rFonts w:cs="Times New Roman"/>
          <w:sz w:val="28"/>
          <w:szCs w:val="28"/>
        </w:rPr>
        <w:t>опилов</w:t>
      </w:r>
      <w:r>
        <w:rPr>
          <w:rFonts w:cs="Times New Roman"/>
          <w:sz w:val="28"/>
          <w:szCs w:val="28"/>
        </w:rPr>
        <w:t>ку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подобных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деревьев</w:t>
      </w:r>
      <w:proofErr w:type="spellEnd"/>
      <w:r>
        <w:rPr>
          <w:rFonts w:cs="Times New Roman"/>
          <w:sz w:val="28"/>
          <w:szCs w:val="28"/>
        </w:rPr>
        <w:t xml:space="preserve">.  </w:t>
      </w:r>
      <w:r>
        <w:rPr>
          <w:rFonts w:cs="Times New Roman"/>
          <w:sz w:val="28"/>
          <w:szCs w:val="28"/>
          <w:lang w:val="ru-RU"/>
        </w:rPr>
        <w:t xml:space="preserve">Ежегодно, для </w:t>
      </w:r>
      <w:r>
        <w:rPr>
          <w:rFonts w:eastAsia="Times New Roman"/>
          <w:color w:val="00000A"/>
          <w:sz w:val="28"/>
          <w:szCs w:val="28"/>
          <w:lang w:val="ru-RU"/>
        </w:rPr>
        <w:t xml:space="preserve">поддержания и улучшения санитарного и эстетического состояния, в целях пожарной безопасности, </w:t>
      </w:r>
      <w:r>
        <w:rPr>
          <w:rFonts w:cs="Times New Roman"/>
          <w:sz w:val="28"/>
          <w:szCs w:val="28"/>
          <w:lang w:val="ru-RU"/>
        </w:rPr>
        <w:t xml:space="preserve">в летний период необходимо производить </w:t>
      </w:r>
      <w:proofErr w:type="spellStart"/>
      <w:r>
        <w:rPr>
          <w:rFonts w:cs="Times New Roman"/>
          <w:sz w:val="28"/>
          <w:szCs w:val="28"/>
          <w:lang w:val="ru-RU"/>
        </w:rPr>
        <w:t>окос</w:t>
      </w:r>
      <w:proofErr w:type="spellEnd"/>
      <w:r>
        <w:rPr>
          <w:rFonts w:cs="Times New Roman"/>
          <w:sz w:val="28"/>
          <w:szCs w:val="28"/>
          <w:lang w:val="ru-RU"/>
        </w:rPr>
        <w:t xml:space="preserve"> травы  на территориях общего пользования в населенных пунктах Сущевского </w:t>
      </w:r>
      <w:r>
        <w:rPr>
          <w:rFonts w:cs="Times New Roman"/>
          <w:sz w:val="28"/>
          <w:szCs w:val="28"/>
          <w:lang w:val="ru-RU"/>
        </w:rPr>
        <w:t>сельского поселения.</w:t>
      </w:r>
    </w:p>
    <w:p w:rsidR="00CD52CA" w:rsidRDefault="0054392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В настоящее время на территории Сущевского сельского поселения   распространяется борщевик Сосновского, представляя серьезную опасность для здоровья населения. Площадь территорий, где произрастает борщевик  Сосновского, 6 гектаров</w:t>
      </w:r>
      <w:r>
        <w:rPr>
          <w:rFonts w:cs="Times New Roman"/>
          <w:sz w:val="28"/>
          <w:szCs w:val="28"/>
          <w:lang w:val="ru-RU"/>
        </w:rPr>
        <w:t>.   Непринятие своевременных мер по борьбе с ним приведет к  увеличению засоренных борщевиком площадей, обострению экологической ситуации. Необходимо систематически проводить обработку зараженных территорий от  борщевика Сосновского.</w:t>
      </w:r>
    </w:p>
    <w:p w:rsidR="00CD52CA" w:rsidRDefault="00543924">
      <w:pPr>
        <w:pStyle w:val="Standard"/>
        <w:jc w:val="both"/>
      </w:pPr>
      <w:r>
        <w:rPr>
          <w:rFonts w:eastAsia="Lucida Sans Unicode" w:cs="Times New Roman"/>
          <w:sz w:val="28"/>
          <w:szCs w:val="28"/>
          <w:lang w:val="ru-RU"/>
        </w:rPr>
        <w:t xml:space="preserve">    С</w:t>
      </w:r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целью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обеспечени</w:t>
      </w:r>
      <w:r>
        <w:rPr>
          <w:rFonts w:eastAsia="Lucida Sans Unicode" w:cs="Times New Roman"/>
          <w:sz w:val="28"/>
          <w:szCs w:val="28"/>
        </w:rPr>
        <w:t>я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благоприятной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санитарно-эпидемиологической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обстановки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клещевому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энцефалиту</w:t>
      </w:r>
      <w:proofErr w:type="spellEnd"/>
      <w:r>
        <w:rPr>
          <w:rFonts w:eastAsia="Lucida Sans Unicode" w:cs="Times New Roman"/>
          <w:sz w:val="28"/>
          <w:szCs w:val="28"/>
        </w:rPr>
        <w:t xml:space="preserve"> и </w:t>
      </w:r>
      <w:proofErr w:type="spellStart"/>
      <w:r>
        <w:rPr>
          <w:rFonts w:eastAsia="Lucida Sans Unicode" w:cs="Times New Roman"/>
          <w:sz w:val="28"/>
          <w:szCs w:val="28"/>
        </w:rPr>
        <w:t>боррелиозу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r>
        <w:rPr>
          <w:rFonts w:eastAsia="Lucida Sans Unicode" w:cs="Times New Roman"/>
          <w:sz w:val="28"/>
          <w:szCs w:val="28"/>
          <w:lang w:val="ru-RU"/>
        </w:rPr>
        <w:t xml:space="preserve">необходимо проводить мероприятия  </w:t>
      </w:r>
      <w:r>
        <w:rPr>
          <w:rFonts w:eastAsia="Lucida Sans Unicode" w:cs="Times New Roman"/>
          <w:sz w:val="28"/>
          <w:szCs w:val="28"/>
        </w:rPr>
        <w:t xml:space="preserve"> в </w:t>
      </w:r>
      <w:proofErr w:type="spellStart"/>
      <w:r>
        <w:rPr>
          <w:rFonts w:eastAsia="Lucida Sans Unicode" w:cs="Times New Roman"/>
          <w:sz w:val="28"/>
          <w:szCs w:val="28"/>
        </w:rPr>
        <w:t>весенний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период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времени</w:t>
      </w:r>
      <w:proofErr w:type="spellEnd"/>
      <w:r>
        <w:rPr>
          <w:rFonts w:eastAsia="Lucida Sans Unicode" w:cs="Times New Roman"/>
          <w:sz w:val="28"/>
          <w:szCs w:val="28"/>
        </w:rPr>
        <w:t xml:space="preserve">   </w:t>
      </w:r>
      <w:proofErr w:type="spellStart"/>
      <w:r>
        <w:rPr>
          <w:rFonts w:eastAsia="Lucida Sans Unicode" w:cs="Times New Roman"/>
          <w:sz w:val="28"/>
          <w:szCs w:val="28"/>
        </w:rPr>
        <w:t>по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</w:rPr>
        <w:t>проведению</w:t>
      </w:r>
      <w:proofErr w:type="spellEnd"/>
      <w:r>
        <w:rPr>
          <w:rFonts w:eastAsia="Lucida Sans Unicode" w:cs="Times New Roman"/>
          <w:sz w:val="28"/>
          <w:szCs w:val="28"/>
        </w:rPr>
        <w:t xml:space="preserve">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акарицидной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обработки территорий детских площадок, 4-х домов культуры, хоккейный клуб </w:t>
      </w:r>
      <w:r>
        <w:rPr>
          <w:rFonts w:eastAsia="Lucida Sans Unicode" w:cs="Times New Roman"/>
          <w:sz w:val="28"/>
          <w:szCs w:val="28"/>
          <w:lang w:val="ru-RU"/>
        </w:rPr>
        <w:t>«Искра» Сущевского сельского поселения, площадью 1,98 гектара.</w:t>
      </w:r>
    </w:p>
    <w:p w:rsidR="00CD52CA" w:rsidRDefault="00543924">
      <w:pPr>
        <w:pStyle w:val="Standard"/>
        <w:jc w:val="both"/>
        <w:rPr>
          <w:rFonts w:eastAsia="Lucida Sans Unicode" w:cs="Times New Roman"/>
          <w:sz w:val="28"/>
          <w:szCs w:val="28"/>
          <w:lang w:val="ru-RU"/>
        </w:rPr>
      </w:pPr>
      <w:r>
        <w:rPr>
          <w:rFonts w:eastAsia="Lucida Sans Unicode" w:cs="Times New Roman"/>
          <w:sz w:val="28"/>
          <w:szCs w:val="28"/>
          <w:lang w:val="ru-RU"/>
        </w:rPr>
        <w:t xml:space="preserve">    На территории Сущевского сельского поселения расположены 1 действующее кладбище, площадью 2,5 гектара. Кладбище также необходимо  благоустраивать: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акарицидную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обработку от клеща, </w:t>
      </w:r>
      <w:r>
        <w:rPr>
          <w:rFonts w:eastAsia="Lucida Sans Unicode" w:cs="Times New Roman"/>
          <w:sz w:val="28"/>
          <w:szCs w:val="28"/>
          <w:lang w:val="ru-RU"/>
        </w:rPr>
        <w:t xml:space="preserve">обработку от борщевика  Сосновского, проводить </w:t>
      </w:r>
      <w:proofErr w:type="spellStart"/>
      <w:r>
        <w:rPr>
          <w:rFonts w:eastAsia="Lucida Sans Unicode" w:cs="Times New Roman"/>
          <w:sz w:val="28"/>
          <w:szCs w:val="28"/>
          <w:lang w:val="ru-RU"/>
        </w:rPr>
        <w:t>окос</w:t>
      </w:r>
      <w:proofErr w:type="spellEnd"/>
      <w:r>
        <w:rPr>
          <w:rFonts w:eastAsia="Lucida Sans Unicode" w:cs="Times New Roman"/>
          <w:sz w:val="28"/>
          <w:szCs w:val="28"/>
          <w:lang w:val="ru-RU"/>
        </w:rPr>
        <w:t xml:space="preserve"> территории кладбища.</w:t>
      </w:r>
    </w:p>
    <w:p w:rsidR="00CD52CA" w:rsidRDefault="00543924">
      <w:pPr>
        <w:pStyle w:val="Standard"/>
        <w:suppressAutoHyphens w:val="0"/>
        <w:jc w:val="both"/>
      </w:pPr>
      <w:r>
        <w:rPr>
          <w:rFonts w:eastAsia="Calibri"/>
          <w:color w:val="00000A"/>
          <w:sz w:val="28"/>
        </w:rPr>
        <w:t xml:space="preserve">     </w:t>
      </w:r>
      <w:r>
        <w:rPr>
          <w:rFonts w:eastAsia="Calibri"/>
          <w:color w:val="00000A"/>
          <w:sz w:val="28"/>
          <w:lang w:val="ru-RU"/>
        </w:rPr>
        <w:t xml:space="preserve">На  территории  Сущевского  сельского  поселения  расположен памятник воинам, погибшим в Великой Отечественной войне 1941-1945 годов - в </w:t>
      </w:r>
      <w:proofErr w:type="spellStart"/>
      <w:r>
        <w:rPr>
          <w:rFonts w:eastAsia="Calibri"/>
          <w:color w:val="00000A"/>
          <w:sz w:val="28"/>
          <w:lang w:val="ru-RU"/>
        </w:rPr>
        <w:t>с.Сущево</w:t>
      </w:r>
      <w:proofErr w:type="spellEnd"/>
      <w:r>
        <w:rPr>
          <w:rFonts w:eastAsia="Calibri"/>
          <w:color w:val="00000A"/>
          <w:sz w:val="28"/>
          <w:lang w:val="ru-RU"/>
        </w:rPr>
        <w:t>. В 2020 году будут проводится ме</w:t>
      </w:r>
      <w:r>
        <w:rPr>
          <w:rFonts w:eastAsia="Calibri"/>
          <w:color w:val="00000A"/>
          <w:sz w:val="28"/>
          <w:lang w:val="ru-RU"/>
        </w:rPr>
        <w:t>роприятия, посвященные 75 г</w:t>
      </w:r>
      <w:r>
        <w:rPr>
          <w:rFonts w:eastAsia="Calibri"/>
          <w:color w:val="00000A"/>
          <w:sz w:val="28"/>
          <w:lang w:val="ru-RU"/>
        </w:rPr>
        <w:t>о</w:t>
      </w:r>
      <w:r>
        <w:rPr>
          <w:rFonts w:eastAsia="Calibri"/>
          <w:color w:val="00000A"/>
          <w:sz w:val="28"/>
          <w:lang w:val="ru-RU"/>
        </w:rPr>
        <w:t xml:space="preserve">довщине Победы в Великой Отечественной войне 1941-1945 годов. В </w:t>
      </w:r>
      <w:proofErr w:type="spellStart"/>
      <w:r>
        <w:rPr>
          <w:rFonts w:eastAsia="Calibri"/>
          <w:color w:val="00000A"/>
          <w:sz w:val="28"/>
          <w:lang w:val="ru-RU"/>
        </w:rPr>
        <w:t>с.Сущево</w:t>
      </w:r>
      <w:proofErr w:type="spellEnd"/>
      <w:r>
        <w:rPr>
          <w:rFonts w:eastAsia="Calibri"/>
          <w:color w:val="00000A"/>
          <w:sz w:val="28"/>
          <w:lang w:val="ru-RU"/>
        </w:rPr>
        <w:t xml:space="preserve"> планируется провести косметический ремонт  памятника.</w:t>
      </w:r>
    </w:p>
    <w:p w:rsidR="00CD52CA" w:rsidRDefault="00543924">
      <w:pPr>
        <w:pStyle w:val="Standard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Одной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негативное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</w:t>
      </w:r>
      <w:r>
        <w:rPr>
          <w:sz w:val="28"/>
          <w:szCs w:val="28"/>
        </w:rPr>
        <w:t>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приводятся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негодность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разрушаются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разрисовываются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фасады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показывает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низком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улицах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бережном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</w:t>
      </w:r>
      <w:r>
        <w:rPr>
          <w:sz w:val="28"/>
          <w:szCs w:val="28"/>
        </w:rPr>
        <w:t>ении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элементам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благоустройства</w:t>
      </w:r>
      <w:proofErr w:type="spellEnd"/>
      <w:r>
        <w:rPr>
          <w:sz w:val="28"/>
          <w:szCs w:val="28"/>
        </w:rPr>
        <w:t>.</w:t>
      </w:r>
    </w:p>
    <w:p w:rsidR="00CD52CA" w:rsidRDefault="00543924">
      <w:pPr>
        <w:pStyle w:val="Standard"/>
        <w:jc w:val="both"/>
      </w:pPr>
      <w:bookmarkStart w:id="1" w:name="P001E"/>
      <w:bookmarkStart w:id="2" w:name="redstr5"/>
      <w:bookmarkEnd w:id="1"/>
      <w:bookmarkEnd w:id="2"/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2020-2022 </w:t>
      </w:r>
      <w:proofErr w:type="spellStart"/>
      <w:r>
        <w:rPr>
          <w:sz w:val="28"/>
          <w:szCs w:val="28"/>
        </w:rPr>
        <w:t>годов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администрации Сущевского  сельского поселения совместно с организациями всех форм собственности, с привлечением </w:t>
      </w:r>
      <w:proofErr w:type="spellStart"/>
      <w:r>
        <w:rPr>
          <w:sz w:val="28"/>
          <w:szCs w:val="28"/>
          <w:lang w:val="ru-RU"/>
        </w:rPr>
        <w:t>ТОСов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организовать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провести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  <w:lang w:val="ru-RU"/>
        </w:rPr>
        <w:t>субботники, направленные на благоустр</w:t>
      </w:r>
      <w:r>
        <w:rPr>
          <w:rFonts w:eastAsia="Calibri"/>
          <w:color w:val="00000A"/>
          <w:sz w:val="28"/>
          <w:szCs w:val="28"/>
          <w:lang w:val="ru-RU"/>
        </w:rPr>
        <w:t>ойство муниципального образования.</w:t>
      </w:r>
    </w:p>
    <w:p w:rsidR="00CD52CA" w:rsidRDefault="00543924">
      <w:pPr>
        <w:pStyle w:val="Default"/>
        <w:widowControl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Проблемы благоустройства территории Сущевского сельского поселения  на сегодня весьма актуальны и не решены в полном объеме в связи с недостаточным финансированием. Эти проблемы не могут быть решены в пределах одного фина</w:t>
      </w:r>
      <w:r>
        <w:rPr>
          <w:sz w:val="28"/>
          <w:szCs w:val="28"/>
          <w:lang w:eastAsia="ru-RU"/>
        </w:rPr>
        <w:t>нсового года, поскольку требуют значительных бюджетных расходов.</w:t>
      </w:r>
    </w:p>
    <w:p w:rsidR="00CD52CA" w:rsidRDefault="00543924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>
        <w:rPr>
          <w:sz w:val="28"/>
          <w:szCs w:val="28"/>
        </w:rPr>
        <w:t>Принимаемые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последнее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частичному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  <w:lang w:val="ru-RU"/>
        </w:rPr>
        <w:t>и Сущевского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приводят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должному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поскольку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позволяют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консолидировать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денежные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>.</w:t>
      </w:r>
    </w:p>
    <w:p w:rsidR="00CD52CA" w:rsidRDefault="00543924">
      <w:pPr>
        <w:pStyle w:val="Standard"/>
        <w:jc w:val="both"/>
      </w:pPr>
      <w:r>
        <w:rPr>
          <w:sz w:val="28"/>
          <w:szCs w:val="28"/>
        </w:rPr>
        <w:t xml:space="preserve">       К   </w:t>
      </w:r>
      <w:proofErr w:type="spellStart"/>
      <w:r>
        <w:rPr>
          <w:sz w:val="28"/>
          <w:szCs w:val="28"/>
        </w:rPr>
        <w:t>благоустройству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</w:t>
      </w:r>
      <w:proofErr w:type="spellEnd"/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Сущевского сельского поселения </w:t>
      </w:r>
      <w:proofErr w:type="spellStart"/>
      <w:r>
        <w:rPr>
          <w:sz w:val="28"/>
          <w:szCs w:val="28"/>
        </w:rPr>
        <w:t>необходим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последовательный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подход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рассчитанный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среднесрочный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предполагает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программно-целевых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ресурсам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исполнителям</w:t>
      </w:r>
      <w:proofErr w:type="spellEnd"/>
      <w:r>
        <w:rPr>
          <w:sz w:val="28"/>
          <w:szCs w:val="28"/>
        </w:rPr>
        <w:t>.</w:t>
      </w:r>
    </w:p>
    <w:p w:rsidR="00CD52CA" w:rsidRDefault="00543924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Комплексное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проблемы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окажет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положительный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эффект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санитарно-эпидемиологическую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обстановку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предотвратит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угрозу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жизни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безопасности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будет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способствовать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повышению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уровня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комфортного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проживания</w:t>
      </w:r>
      <w:proofErr w:type="spellEnd"/>
      <w:r>
        <w:rPr>
          <w:rFonts w:cs="Times New Roman"/>
          <w:sz w:val="28"/>
          <w:szCs w:val="28"/>
        </w:rPr>
        <w:t>.</w:t>
      </w:r>
    </w:p>
    <w:p w:rsidR="00CD52CA" w:rsidRDefault="005439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Основным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D52CA" w:rsidRDefault="0054392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кладбищ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другие мероприятия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D52CA" w:rsidRDefault="00543924">
      <w:pPr>
        <w:pStyle w:val="ConsPlusNormal"/>
        <w:widowControl/>
        <w:suppressLineNumbers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данной муниципальной программы позволит п</w:t>
      </w:r>
      <w:r>
        <w:rPr>
          <w:rFonts w:ascii="Times New Roman" w:hAnsi="Times New Roman"/>
          <w:sz w:val="28"/>
          <w:szCs w:val="28"/>
        </w:rPr>
        <w:t>овысить уровень благоустройства территории Сущевского сельского поселения,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CD52CA" w:rsidRDefault="00CD52CA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CD52CA" w:rsidRDefault="00543924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</w:t>
      </w:r>
      <w:r>
        <w:rPr>
          <w:sz w:val="28"/>
          <w:szCs w:val="28"/>
        </w:rPr>
        <w:t>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CD52CA" w:rsidRDefault="00CD52CA">
      <w:pPr>
        <w:pStyle w:val="Standard"/>
        <w:autoSpaceDE w:val="0"/>
        <w:jc w:val="center"/>
      </w:pPr>
    </w:p>
    <w:p w:rsidR="00CD52CA" w:rsidRDefault="00543924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CD52CA" w:rsidRDefault="00543924">
      <w:pPr>
        <w:pStyle w:val="Standard"/>
        <w:autoSpaceDE w:val="0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Благоустройство территории Сущевского сельского поселения</w:t>
      </w:r>
    </w:p>
    <w:p w:rsidR="00CD52CA" w:rsidRDefault="00543924">
      <w:pPr>
        <w:pStyle w:val="Standard"/>
        <w:autoSpaceDE w:val="0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CD52CA" w:rsidRDefault="00CD52CA">
      <w:pPr>
        <w:pStyle w:val="Standard"/>
        <w:jc w:val="right"/>
        <w:rPr>
          <w:sz w:val="28"/>
          <w:szCs w:val="28"/>
        </w:rPr>
      </w:pPr>
    </w:p>
    <w:p w:rsidR="00CD52CA" w:rsidRDefault="00CD52CA">
      <w:pPr>
        <w:pStyle w:val="Standard"/>
        <w:jc w:val="right"/>
        <w:rPr>
          <w:sz w:val="28"/>
          <w:szCs w:val="28"/>
        </w:rPr>
      </w:pPr>
    </w:p>
    <w:p w:rsidR="00CD52CA" w:rsidRDefault="0054392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245"/>
        <w:gridCol w:w="1255"/>
        <w:gridCol w:w="59"/>
        <w:gridCol w:w="1399"/>
        <w:gridCol w:w="1403"/>
        <w:gridCol w:w="1436"/>
      </w:tblGrid>
      <w:tr w:rsidR="00CD52CA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155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proofErr w:type="spellStart"/>
            <w:r>
              <w:t>Цель</w:t>
            </w:r>
            <w:proofErr w:type="spellEnd"/>
            <w:r>
              <w:t xml:space="preserve">: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iCs/>
                <w:color w:val="000000"/>
                <w:lang w:val="ru-RU"/>
              </w:rPr>
              <w:t>Повышение  уровня благоустройства    территории    Сущевского сельского поселения Костромского муниципального района Костромской области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jc w:val="both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Количество  населенных пунктов, обеспеченных надлежащим техническим состоянием сетей (объектов)  уличного освещения</w:t>
            </w: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CD52CA" w:rsidRDefault="00CD52CA">
            <w:pPr>
              <w:pStyle w:val="TableContents"/>
              <w:jc w:val="center"/>
              <w:rPr>
                <w:lang w:val="ru-RU"/>
              </w:rPr>
            </w:pPr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п.При</w:t>
            </w:r>
            <w:r>
              <w:rPr>
                <w:lang w:val="ru-RU"/>
              </w:rPr>
              <w:t>брежный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д.Абабурово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д.Акулово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CD52CA" w:rsidRDefault="00CD52C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CD52CA" w:rsidRDefault="00CD52CA">
            <w:pPr>
              <w:pStyle w:val="TableContents"/>
              <w:jc w:val="center"/>
              <w:rPr>
                <w:lang w:val="ru-RU"/>
              </w:rPr>
            </w:pPr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п.Прибрежный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д.Акулово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д.Барское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д.Бельково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CD52CA" w:rsidRDefault="00CD52CA">
            <w:pPr>
              <w:pStyle w:val="TableContents"/>
              <w:jc w:val="center"/>
              <w:rPr>
                <w:lang w:val="ru-RU"/>
              </w:rPr>
            </w:pPr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с.Сущево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п.Шувалово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д.Крутик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д.Невежино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д.Барское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д.Бельково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д.Жданово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д.Абабурово</w:t>
            </w:r>
            <w:proofErr w:type="spellEnd"/>
          </w:p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д.Иванищево</w:t>
            </w:r>
            <w:proofErr w:type="spellEnd"/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t>2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rPr>
                <w:lang w:val="ru-RU"/>
              </w:rPr>
              <w:t xml:space="preserve">Задача 2. </w:t>
            </w:r>
            <w:r>
              <w:rPr>
                <w:rFonts w:cs="Times New Roman"/>
                <w:color w:val="000000"/>
                <w:lang w:val="ru-RU"/>
              </w:rPr>
              <w:t>Улучшение санитарного и эстетического состояния территории   поселения,  повышения комфортности условий проживания для жителей поселения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t>2.1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Доля благоустроенных населенных пунктов</w:t>
            </w:r>
          </w:p>
          <w:p w:rsidR="00CD52CA" w:rsidRDefault="00CD52CA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t>3</w:t>
            </w:r>
          </w:p>
        </w:tc>
        <w:tc>
          <w:tcPr>
            <w:tcW w:w="880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a7"/>
              <w:spacing w:before="0" w:after="0"/>
              <w:jc w:val="both"/>
              <w:rPr>
                <w:rFonts w:ascii="Times New Roman" w:eastAsia="Times New Roman" w:hAnsi="Times New Roman" w:cs="Times New Roman"/>
                <w:color w:val="1919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lang w:val="ru-RU"/>
              </w:rPr>
              <w:t xml:space="preserve">Задача 3. Привлечение жителей к участию в благоустройстве </w:t>
            </w:r>
            <w:r>
              <w:rPr>
                <w:rFonts w:ascii="Times New Roman" w:eastAsia="Times New Roman" w:hAnsi="Times New Roman" w:cs="Times New Roman"/>
                <w:color w:val="191919"/>
                <w:lang w:val="ru-RU"/>
              </w:rPr>
              <w:t>территории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t>3.1</w:t>
            </w:r>
          </w:p>
        </w:tc>
        <w:tc>
          <w:tcPr>
            <w:tcW w:w="32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Количество проведенных субботников по благоустройству населенных пунктов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14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</w:tbl>
    <w:p w:rsidR="00000000" w:rsidRDefault="00543924">
      <w:pPr>
        <w:sectPr w:rsidR="00000000">
          <w:pgSz w:w="11906" w:h="16838"/>
          <w:pgMar w:top="1134" w:right="850" w:bottom="1134" w:left="1559" w:header="720" w:footer="720" w:gutter="0"/>
          <w:cols w:space="720"/>
        </w:sectPr>
      </w:pPr>
    </w:p>
    <w:p w:rsidR="00CD52CA" w:rsidRDefault="00CD52CA">
      <w:pPr>
        <w:pStyle w:val="Standard"/>
        <w:jc w:val="both"/>
        <w:rPr>
          <w:rFonts w:cs="Times New Roman"/>
          <w:sz w:val="28"/>
          <w:szCs w:val="28"/>
        </w:rPr>
      </w:pPr>
    </w:p>
    <w:p w:rsidR="00CD52CA" w:rsidRDefault="0054392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CD52CA" w:rsidRDefault="00543924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CD52CA" w:rsidRDefault="00543924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Прочие мероприятия по благоустройству Сущевского сельского поселения на 2021-2023 годы»</w:t>
      </w:r>
    </w:p>
    <w:p w:rsidR="00CD52CA" w:rsidRDefault="00CD52CA">
      <w:pPr>
        <w:pStyle w:val="Standard"/>
        <w:jc w:val="center"/>
        <w:rPr>
          <w:rFonts w:eastAsia="Times New Roman" w:cs="Times New Roman"/>
          <w:iCs/>
          <w:color w:val="000000"/>
          <w:sz w:val="28"/>
          <w:szCs w:val="28"/>
          <w:lang w:val="ru-RU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324"/>
        <w:gridCol w:w="1418"/>
        <w:gridCol w:w="1340"/>
        <w:gridCol w:w="1210"/>
        <w:gridCol w:w="1372"/>
        <w:gridCol w:w="3200"/>
      </w:tblGrid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мероприятия  и источники финансирования</w:t>
            </w:r>
          </w:p>
        </w:tc>
        <w:tc>
          <w:tcPr>
            <w:tcW w:w="8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jc w:val="center"/>
            </w:pPr>
            <w:r>
              <w:t xml:space="preserve">Всего по </w:t>
            </w:r>
            <w:r>
              <w:t>муниципальной программе,</w:t>
            </w:r>
          </w:p>
          <w:p w:rsidR="00CD52CA" w:rsidRDefault="00543924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7027,045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1555,0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2643,5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2828,545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4452,882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1555,0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2643,5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2828,545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ind w:left="350"/>
              <w:jc w:val="center"/>
              <w:rPr>
                <w:rFonts w:eastAsia="SimSun" w:cs="Times New Roman"/>
                <w:bCs/>
                <w:color w:val="000000"/>
                <w:lang w:val="ru-RU" w:eastAsia="ar-SA"/>
              </w:rPr>
            </w:pP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 xml:space="preserve">Обеспечение надлежащего технического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состояния сетей, объектов   уличного освещения населенных пунктов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CD52CA" w:rsidRDefault="0054392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«Ремонт системы уличного освещения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ремонта системы уличного освещения населенных пунктов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«Обслуживание приборов учета электроэнергии»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обслуживания приборов учета </w:t>
            </w:r>
            <w:r>
              <w:rPr>
                <w:rFonts w:cs="Times New Roman"/>
                <w:sz w:val="20"/>
                <w:szCs w:val="20"/>
                <w:lang w:val="ru-RU"/>
              </w:rPr>
              <w:t>электроэнергии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 «Приобретение материальных запасов (светильники, оборудование)»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Приобретение материальных запасов (светильники, оборудование)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1.1.4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«Оплата потребленной </w:t>
            </w:r>
            <w:r>
              <w:rPr>
                <w:rFonts w:cs="Times New Roman"/>
                <w:sz w:val="20"/>
                <w:szCs w:val="20"/>
                <w:lang w:val="ru-RU"/>
              </w:rPr>
              <w:t>электрической энергии для нужд уличного освещения»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1113,982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Произведение оплаты потребляемой электрической энергии для нужд уличного освещения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1113,982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525,00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1050,00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  <w:jc w:val="center"/>
            </w:pPr>
            <w:r>
              <w:t>1.2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ind w:left="350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Улучшение санитарного и эстетического состояния территории   поселения,  повышения комфортности условий проживания для жителей поселения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«Вывоз несанкционированных свалок»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Вывоз несанкционированных свалок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1.2.2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«Уборка территории, обочин, контейнерных </w:t>
            </w:r>
            <w:r>
              <w:rPr>
                <w:rFonts w:cs="Times New Roman"/>
                <w:sz w:val="20"/>
                <w:szCs w:val="20"/>
                <w:lang w:val="ru-RU"/>
              </w:rPr>
              <w:t>площадок, ограждение контейнерных площадок, очистка снега у мемориала»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741,031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828,50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718,545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ручной уборки обочин и улиц Сущевского сельского поселения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741,031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828,50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718,545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1.2.3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«Снос аварийных и санитарная обрезка деревьев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Снос аварийных деревьев и санитарная обрезка на территории населенных </w:t>
            </w:r>
            <w:r>
              <w:rPr>
                <w:rFonts w:cs="Times New Roman"/>
                <w:sz w:val="20"/>
                <w:szCs w:val="20"/>
                <w:lang w:val="ru-RU"/>
              </w:rPr>
              <w:t>пунктов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1.2.4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населенных пунктов»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населенных пунктов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1.2.6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обработка территорий детских площадок, 4-х </w:t>
            </w:r>
            <w:r>
              <w:rPr>
                <w:rFonts w:cs="Times New Roman"/>
                <w:sz w:val="20"/>
                <w:szCs w:val="20"/>
                <w:lang w:val="ru-RU"/>
              </w:rPr>
              <w:t>домов культуры, хоккейный клуб «Искра» Сущевского сельского поселения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детских площадок, 4-х домов культуры, хоккейный клуб «Искра» Сущевского сельского поселения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1.2.7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Акарицидная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обработка территорий   (площадь 2,5 га) кладбища  от клеща»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Проведена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акарицидной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обработки </w:t>
            </w:r>
            <w:r>
              <w:rPr>
                <w:rFonts w:cs="Times New Roman"/>
                <w:sz w:val="20"/>
                <w:szCs w:val="20"/>
                <w:lang w:val="ru-RU"/>
              </w:rPr>
              <w:t>территории   кладбища  от клеща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1.2.1</w:t>
            </w:r>
            <w:r>
              <w:rPr>
                <w:lang w:val="ru-RU"/>
              </w:rPr>
              <w:t>2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r>
              <w:rPr>
                <w:rFonts w:eastAsia="Calibri"/>
                <w:color w:val="00000A"/>
                <w:lang w:val="ru-RU"/>
              </w:rPr>
              <w:t xml:space="preserve">Приобретение хозяйственных материалов (ведра, краска, кисти, </w:t>
            </w:r>
            <w:r>
              <w:rPr>
                <w:rFonts w:eastAsia="Calibri"/>
                <w:color w:val="00000A"/>
                <w:lang w:val="ru-RU"/>
              </w:rPr>
              <w:t>перчатки, мешки для мусора, лопаты)</w:t>
            </w:r>
            <w:r>
              <w:rPr>
                <w:rFonts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</w:pPr>
            <w:r>
              <w:rPr>
                <w:rFonts w:eastAsia="Calibri"/>
                <w:color w:val="00000A"/>
                <w:sz w:val="20"/>
                <w:szCs w:val="20"/>
                <w:lang w:val="ru-RU"/>
              </w:rPr>
              <w:t>Приобретение хозяйственных материалов (ведра, краска, кисти, перчатки, мешки для мусора, лопаты)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Standard"/>
            </w:pPr>
            <w:r>
              <w:t>1.2.13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Мероприятие: «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окоса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травы на территории кладбища</w:t>
            </w:r>
          </w:p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  <w:tr w:rsidR="00CD52CA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>
            <w:pPr>
              <w:pStyle w:val="Standard"/>
            </w:pP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ConsPlusCell"/>
              <w:ind w:left="3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54392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2CA" w:rsidRDefault="00CD52CA"/>
        </w:tc>
      </w:tr>
    </w:tbl>
    <w:p w:rsidR="00CD52CA" w:rsidRDefault="00CD52CA">
      <w:pPr>
        <w:pStyle w:val="Standard"/>
        <w:jc w:val="both"/>
        <w:rPr>
          <w:rFonts w:cs="Times New Roman"/>
          <w:sz w:val="28"/>
          <w:szCs w:val="28"/>
        </w:rPr>
      </w:pPr>
    </w:p>
    <w:p w:rsidR="00CD52CA" w:rsidRDefault="00543924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sectPr w:rsidR="00CD52C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24" w:rsidRDefault="00543924">
      <w:r>
        <w:separator/>
      </w:r>
    </w:p>
  </w:endnote>
  <w:endnote w:type="continuationSeparator" w:id="0">
    <w:p w:rsidR="00543924" w:rsidRDefault="0054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24" w:rsidRDefault="00543924">
      <w:r>
        <w:rPr>
          <w:color w:val="000000"/>
        </w:rPr>
        <w:separator/>
      </w:r>
    </w:p>
  </w:footnote>
  <w:footnote w:type="continuationSeparator" w:id="0">
    <w:p w:rsidR="00543924" w:rsidRDefault="0054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52A"/>
    <w:multiLevelType w:val="multilevel"/>
    <w:tmpl w:val="4BC423E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57F2152"/>
    <w:multiLevelType w:val="multilevel"/>
    <w:tmpl w:val="F02A08BE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56B7671"/>
    <w:multiLevelType w:val="multilevel"/>
    <w:tmpl w:val="3E70DA7E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69E6113"/>
    <w:multiLevelType w:val="multilevel"/>
    <w:tmpl w:val="CD14F85A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52CA"/>
    <w:rsid w:val="000E6ED7"/>
    <w:rsid w:val="00543924"/>
    <w:rsid w:val="00C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2021-03-29T10:14:00Z</cp:lastPrinted>
  <dcterms:created xsi:type="dcterms:W3CDTF">2022-02-27T08:03:00Z</dcterms:created>
  <dcterms:modified xsi:type="dcterms:W3CDTF">2022-02-27T08:03:00Z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