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E" w:rsidRDefault="00E75A2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СУЩЁВСКОГО СЕЛЬСКОГО ПОСЕЛЕНИЯ КОСТРОМСКОГО МУНИЦИПАЛЬНОГО РАЙОНА</w:t>
      </w:r>
    </w:p>
    <w:p w:rsidR="008002DE" w:rsidRDefault="00E75A2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8002DE" w:rsidRDefault="008002DE">
      <w:pPr>
        <w:pStyle w:val="Standard"/>
        <w:jc w:val="both"/>
        <w:rPr>
          <w:sz w:val="28"/>
          <w:szCs w:val="28"/>
        </w:rPr>
      </w:pPr>
    </w:p>
    <w:p w:rsidR="008002DE" w:rsidRDefault="00E75A2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002DE" w:rsidRDefault="008002DE">
      <w:pPr>
        <w:pStyle w:val="Standard"/>
        <w:jc w:val="both"/>
        <w:rPr>
          <w:sz w:val="28"/>
          <w:szCs w:val="28"/>
        </w:rPr>
      </w:pPr>
    </w:p>
    <w:p w:rsidR="008002DE" w:rsidRDefault="00E75A25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>от 02 декабря</w:t>
      </w:r>
      <w:r>
        <w:rPr>
          <w:rFonts w:cs="Arial"/>
          <w:sz w:val="28"/>
          <w:szCs w:val="28"/>
        </w:rPr>
        <w:t xml:space="preserve"> 20</w:t>
      </w:r>
      <w:r>
        <w:rPr>
          <w:rFonts w:cs="Arial"/>
          <w:sz w:val="28"/>
          <w:szCs w:val="28"/>
          <w:lang w:val="ru-RU"/>
        </w:rPr>
        <w:t>20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года</w:t>
      </w:r>
      <w:proofErr w:type="spellEnd"/>
      <w:r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  <w:lang w:val="ru-RU"/>
        </w:rPr>
        <w:t>91</w:t>
      </w:r>
      <w:r>
        <w:rPr>
          <w:rFonts w:cs="Arial"/>
          <w:sz w:val="28"/>
          <w:szCs w:val="28"/>
        </w:rPr>
        <w:t xml:space="preserve">                                                                   </w:t>
      </w:r>
    </w:p>
    <w:p w:rsidR="008002DE" w:rsidRDefault="008002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02DE" w:rsidRDefault="00E75A25">
      <w:pPr>
        <w:pStyle w:val="Standard"/>
        <w:tabs>
          <w:tab w:val="left" w:pos="4962"/>
        </w:tabs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внесении изменений в постановление</w:t>
      </w:r>
    </w:p>
    <w:p w:rsidR="008002DE" w:rsidRDefault="00E75A25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№ 34 от 28.05.2020г. «Об утверждении </w:t>
      </w:r>
    </w:p>
    <w:p w:rsidR="008002DE" w:rsidRDefault="00E75A25">
      <w:pPr>
        <w:pStyle w:val="Standard"/>
        <w:ind w:right="46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муниципальной программы «Ко</w:t>
      </w:r>
      <w:r>
        <w:rPr>
          <w:rFonts w:cs="Times New Roman"/>
          <w:sz w:val="28"/>
          <w:szCs w:val="28"/>
          <w:lang w:val="ru-RU"/>
        </w:rPr>
        <w:t xml:space="preserve">мплексное развитие сельских территорий» на территории Сущевского сельского поселения Костромского муниципального района Костромской области «Обустройство хоккейного корта п. </w:t>
      </w:r>
      <w:proofErr w:type="spellStart"/>
      <w:r>
        <w:rPr>
          <w:rFonts w:cs="Times New Roman"/>
          <w:sz w:val="28"/>
          <w:szCs w:val="28"/>
          <w:lang w:val="ru-RU"/>
        </w:rPr>
        <w:t>Шувалово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:rsidR="008002DE" w:rsidRDefault="008002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02DE" w:rsidRDefault="008002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02DE" w:rsidRDefault="00E75A25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06.10.2003 № 131 – ФЗ «</w:t>
      </w:r>
      <w:r>
        <w:rPr>
          <w:rFonts w:cs="Times New Roman"/>
          <w:sz w:val="28"/>
          <w:szCs w:val="28"/>
          <w:lang w:val="ru-RU"/>
        </w:rPr>
        <w:t xml:space="preserve">Об общих   принципах организации местного самоуправления в Российской Федерации»,  статьей 179 Бюджетного кодекса Российской Федерации,   руководствуясь  Уставом муниципального 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Сущевское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 Костромского муниципального района Кос</w:t>
      </w:r>
      <w:r>
        <w:rPr>
          <w:rFonts w:cs="Times New Roman"/>
          <w:sz w:val="28"/>
          <w:szCs w:val="28"/>
          <w:lang w:val="ru-RU"/>
        </w:rPr>
        <w:t>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8002DE" w:rsidRDefault="00E75A25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8002DE" w:rsidRDefault="00E75A2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1.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Внести изменения в постановление № 34 от 28.05.2020г.   «Об утверждении муниципальной  программы «Комплексное развитие сельских территорий»</w:t>
      </w:r>
      <w:r>
        <w:rPr>
          <w:rFonts w:cs="Times New Roman"/>
          <w:sz w:val="28"/>
          <w:szCs w:val="28"/>
          <w:lang w:val="ru-RU"/>
        </w:rPr>
        <w:t xml:space="preserve"> на территории Сущевского сельского поселения Костромского му</w:t>
      </w:r>
      <w:r>
        <w:rPr>
          <w:rFonts w:cs="Times New Roman"/>
          <w:sz w:val="28"/>
          <w:szCs w:val="28"/>
          <w:lang w:val="ru-RU"/>
        </w:rPr>
        <w:t xml:space="preserve">ниципального района Костромской области «Обустройство хоккейного корта п. </w:t>
      </w:r>
      <w:proofErr w:type="spellStart"/>
      <w:r>
        <w:rPr>
          <w:rFonts w:cs="Times New Roman"/>
          <w:sz w:val="28"/>
          <w:szCs w:val="28"/>
          <w:lang w:val="ru-RU"/>
        </w:rPr>
        <w:t>Шувалово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:rsidR="008002DE" w:rsidRDefault="00E75A2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2.   </w:t>
      </w:r>
      <w:r>
        <w:rPr>
          <w:rFonts w:cs="Times New Roman"/>
          <w:sz w:val="28"/>
          <w:szCs w:val="28"/>
          <w:lang w:val="ru-RU"/>
        </w:rPr>
        <w:t>Приложение, план мероприятий изложить в новой редакции.</w:t>
      </w:r>
    </w:p>
    <w:p w:rsidR="008002DE" w:rsidRDefault="00E75A25">
      <w:pPr>
        <w:pStyle w:val="Standard"/>
        <w:jc w:val="both"/>
      </w:pP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3. Постановление №87 от 12.11.2020г. «О внесении изменений в постановление № 34 от 28.05.2020г. </w:t>
      </w:r>
      <w:r>
        <w:rPr>
          <w:sz w:val="28"/>
          <w:szCs w:val="28"/>
          <w:lang w:val="ru-RU"/>
        </w:rPr>
        <w:t xml:space="preserve">«Об утверждении муниципальной программы «Комплексное развитие сельских территорий» на территории Сущевского сельского поселения Костромского муниципального района Костромской области «Обустройство хоккейного корта п. </w:t>
      </w:r>
      <w:proofErr w:type="spellStart"/>
      <w:r>
        <w:rPr>
          <w:sz w:val="28"/>
          <w:szCs w:val="28"/>
          <w:lang w:val="ru-RU"/>
        </w:rPr>
        <w:t>Шувалово</w:t>
      </w:r>
      <w:proofErr w:type="spellEnd"/>
      <w:r>
        <w:rPr>
          <w:sz w:val="28"/>
          <w:szCs w:val="28"/>
          <w:lang w:val="ru-RU"/>
        </w:rPr>
        <w:t>»» считать утратившим силу.</w:t>
      </w:r>
    </w:p>
    <w:p w:rsidR="008002DE" w:rsidRDefault="00E75A2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. 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опубликования в общественно-политическом издании «Депутатский вестник»</w:t>
      </w:r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Сущевского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>».</w:t>
      </w:r>
    </w:p>
    <w:p w:rsidR="008002DE" w:rsidRDefault="00E75A25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        </w:t>
      </w:r>
    </w:p>
    <w:p w:rsidR="008002DE" w:rsidRDefault="00E75A25">
      <w:pPr>
        <w:pStyle w:val="Standard"/>
        <w:jc w:val="both"/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Сущевского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proofErr w:type="spell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>И.А. Аристова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8002DE" w:rsidRDefault="008002DE">
      <w:pPr>
        <w:pStyle w:val="Standard"/>
        <w:jc w:val="both"/>
      </w:pPr>
    </w:p>
    <w:p w:rsidR="008002DE" w:rsidRDefault="00E75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8002DE" w:rsidRDefault="008002DE">
      <w:pPr>
        <w:pStyle w:val="Standard"/>
        <w:jc w:val="right"/>
        <w:rPr>
          <w:sz w:val="28"/>
          <w:szCs w:val="28"/>
          <w:lang w:val="ru-RU"/>
        </w:rPr>
      </w:pPr>
    </w:p>
    <w:p w:rsidR="008002DE" w:rsidRDefault="00E75A2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Приложени</w:t>
      </w:r>
      <w:r>
        <w:rPr>
          <w:sz w:val="28"/>
          <w:szCs w:val="28"/>
          <w:lang w:val="ru-RU"/>
        </w:rPr>
        <w:t>е</w:t>
      </w:r>
    </w:p>
    <w:p w:rsidR="008002DE" w:rsidRDefault="008002DE">
      <w:pPr>
        <w:pStyle w:val="Standard"/>
        <w:jc w:val="right"/>
        <w:rPr>
          <w:sz w:val="28"/>
          <w:szCs w:val="28"/>
          <w:lang w:val="ru-RU"/>
        </w:rPr>
      </w:pPr>
    </w:p>
    <w:p w:rsidR="008002DE" w:rsidRDefault="00E75A2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8002DE" w:rsidRDefault="00E75A2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</w:t>
      </w:r>
    </w:p>
    <w:p w:rsidR="008002DE" w:rsidRDefault="00E75A2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Сущевского сельского поселения  </w:t>
      </w:r>
    </w:p>
    <w:p w:rsidR="008002DE" w:rsidRDefault="00E75A25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от 02 декабря 2020 года    № 91</w:t>
      </w:r>
    </w:p>
    <w:p w:rsidR="008002DE" w:rsidRDefault="00E75A25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8002DE" w:rsidRDefault="008002DE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8002DE" w:rsidRDefault="008002DE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8002DE" w:rsidRDefault="00E75A25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8002DE" w:rsidRDefault="00E75A25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 Костромского муниципального района</w:t>
      </w:r>
    </w:p>
    <w:p w:rsidR="008002DE" w:rsidRDefault="00E75A25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Костромской области «Обустройство хоккейного ко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рта п.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8002DE" w:rsidRDefault="008002DE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8002DE" w:rsidRDefault="00E75A25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8002DE" w:rsidRDefault="00E75A2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 на территории Сущевского сельского поселения Костромского муниципального района</w:t>
      </w:r>
    </w:p>
    <w:p w:rsidR="008002DE" w:rsidRDefault="00E75A2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Костромской области «Обустройство хоккейного корта п.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8002DE" w:rsidRDefault="008002DE">
      <w:pPr>
        <w:pStyle w:val="Standard"/>
        <w:jc w:val="center"/>
      </w:pPr>
    </w:p>
    <w:p w:rsidR="008002DE" w:rsidRDefault="008002DE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3"/>
      </w:tblGrid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(и)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</w:t>
            </w:r>
            <w:r>
              <w:rPr>
                <w:rFonts w:cs="Times New Roman"/>
                <w:sz w:val="28"/>
                <w:szCs w:val="28"/>
              </w:rPr>
              <w:t>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8002DE" w:rsidRDefault="00800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условий для развития хоккея;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Создание условий, обеспечивающих гражданам возможность вести </w:t>
            </w:r>
            <w:r>
              <w:rPr>
                <w:rFonts w:cs="Times New Roman"/>
                <w:sz w:val="28"/>
                <w:szCs w:val="28"/>
                <w:lang w:val="ru-RU"/>
              </w:rPr>
              <w:t>здоровый образ жизни, занимаясь хоккеем на регулярной основе;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развитие любительского и детского хоккея;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улучшение материально-технической базы и инфраструктуры хоккея, участие в реализации программ по строительству и реконструкции спортивных сооружений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для организации систематических занятий и проведения спортивных соревнований и физкультурно-оздоровительных мероприятий по хоккею;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информационное обеспечение, популяризация и пропаганда хоккея;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системы подготовки хоккеистов, вовлечен</w:t>
            </w:r>
            <w:r>
              <w:rPr>
                <w:rFonts w:cs="Times New Roman"/>
                <w:sz w:val="28"/>
                <w:szCs w:val="28"/>
                <w:lang w:val="ru-RU"/>
              </w:rPr>
              <w:t>ие максимально возможного числа детей, подростков и молодежи в систематические занятия хоккеем;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материальных, организационных и других необходимых условий для повышения эффективности подготовки спортсменов.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2021 год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4000,00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 год – 4000,00</w:t>
            </w:r>
          </w:p>
          <w:p w:rsidR="008002DE" w:rsidRDefault="00E75A2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8002DE" w:rsidRDefault="00E75A25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федеральный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1198,995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8002DE" w:rsidRDefault="00E75A25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областной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val="ru-RU"/>
              </w:rPr>
              <w:t>63,105</w:t>
            </w:r>
          </w:p>
          <w:p w:rsidR="008002DE" w:rsidRDefault="00E75A25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местный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: 2287,900</w:t>
            </w:r>
          </w:p>
          <w:p w:rsidR="008002DE" w:rsidRDefault="00E75A2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внебюджетные источники: 450,00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спортсменов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 xml:space="preserve">ХК «Искра» </w:t>
            </w:r>
            <w:r>
              <w:rPr>
                <w:sz w:val="28"/>
                <w:szCs w:val="28"/>
                <w:lang w:val="ru-RU"/>
              </w:rPr>
              <w:t>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>ХК «Искра» 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Созданные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граждан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любительского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материально-техническая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инфраструктура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подъем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популярности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усовершенствованная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прирост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регулярно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</w:t>
            </w:r>
            <w:r>
              <w:rPr>
                <w:sz w:val="28"/>
                <w:szCs w:val="28"/>
              </w:rPr>
              <w:t>еем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подпрограмм</w:t>
            </w:r>
            <w:proofErr w:type="spellEnd"/>
            <w:r>
              <w:rPr>
                <w:rFonts w:cs="Times New Roman"/>
                <w:sz w:val="28"/>
                <w:szCs w:val="28"/>
              </w:rPr>
              <w:t>(ы)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002DE" w:rsidRDefault="00E75A2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8002DE" w:rsidRDefault="008002DE">
      <w:pPr>
        <w:pStyle w:val="Standard"/>
        <w:autoSpaceDE w:val="0"/>
        <w:rPr>
          <w:sz w:val="28"/>
          <w:szCs w:val="28"/>
          <w:lang w:val="ru-RU"/>
        </w:rPr>
      </w:pPr>
    </w:p>
    <w:p w:rsidR="008002DE" w:rsidRDefault="00E75A25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II.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разработана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законам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от 06.10.2003 №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131 – ФЗ «Об общих   принципах организации местного самоуправления в Российской Федерации»,  статьей 179 Бюджетного кодекса Российской Федерации,    Уставом муниципального образования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Сущевское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сельское поселение Костромского муниципального района Костромс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8002DE" w:rsidRDefault="00E75A2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 территории Сущевского сельского поселения организацию досуга и предоставление услуг в сфере спорта осуществляет МКУФС ХК «Искра» им. Заслуженного тренера СССР А.В. Тарасова. Деятельность ХК является одной из важнейших составляющих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современной спортивной жизни поселения. Основными местами проведения массовых спортивных мероприятий является хоккейные корты расположенные в 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Шувалово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с. Сущево — административном центре Сущевского сельского поселения. Население поселка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Шувалово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соста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вляет 1500 человек, с. Сущево 1600 человек, в том числе дети от 18-ти лет — 442. Жители всех возрастных категорий являются активными участниками спортивных мероприятий местного и районного значения. Хоккейные корты доступны для занятий спортом и отдыха жит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елей и гостей поселения в любое удобное для них время на безвозмездной основе. На хоккейных кортах проводятся соревнования сельских детских команд ЦФО и др. округов «Золотая шайба».</w:t>
      </w:r>
    </w:p>
    <w:p w:rsidR="008002DE" w:rsidRDefault="00E75A25">
      <w:pPr>
        <w:pStyle w:val="Textbody"/>
        <w:jc w:val="both"/>
      </w:pPr>
      <w:r>
        <w:t xml:space="preserve">      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возрастает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качество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r>
        <w:rPr>
          <w:sz w:val="28"/>
        </w:rPr>
        <w:t>селения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услугах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8002DE" w:rsidRDefault="00E75A25">
      <w:pPr>
        <w:pStyle w:val="Textbody"/>
        <w:jc w:val="both"/>
      </w:pPr>
      <w:r>
        <w:t xml:space="preserve">       </w:t>
      </w:r>
      <w:proofErr w:type="spellStart"/>
      <w:r>
        <w:rPr>
          <w:sz w:val="28"/>
        </w:rPr>
        <w:t>Неудовлетворительное</w:t>
      </w:r>
      <w:proofErr w:type="spellEnd"/>
      <w:r>
        <w:rPr>
          <w:sz w:val="28"/>
        </w:rPr>
        <w:t xml:space="preserve">   </w:t>
      </w: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   </w:t>
      </w:r>
      <w:r>
        <w:rPr>
          <w:sz w:val="28"/>
          <w:lang w:val="ru-RU"/>
        </w:rPr>
        <w:t xml:space="preserve">основного </w:t>
      </w:r>
      <w:proofErr w:type="spellStart"/>
      <w:r>
        <w:rPr>
          <w:sz w:val="28"/>
        </w:rPr>
        <w:t>корта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в п. </w:t>
      </w:r>
      <w:proofErr w:type="spellStart"/>
      <w:r>
        <w:rPr>
          <w:sz w:val="28"/>
          <w:lang w:val="ru-RU"/>
        </w:rPr>
        <w:t>Шувалово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ведет</w:t>
      </w:r>
      <w:proofErr w:type="spellEnd"/>
      <w:r>
        <w:rPr>
          <w:sz w:val="28"/>
        </w:rPr>
        <w:t xml:space="preserve">   к   </w:t>
      </w:r>
      <w:proofErr w:type="spellStart"/>
      <w:r>
        <w:rPr>
          <w:sz w:val="28"/>
        </w:rPr>
        <w:t>уменьшению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физкультурно-оздоровительных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.</w:t>
      </w:r>
    </w:p>
    <w:p w:rsidR="008002DE" w:rsidRDefault="00E75A25">
      <w:pPr>
        <w:pStyle w:val="Textbody"/>
        <w:jc w:val="both"/>
      </w:pPr>
      <w:r>
        <w:t>        </w:t>
      </w:r>
      <w:proofErr w:type="spellStart"/>
      <w:r>
        <w:rPr>
          <w:sz w:val="28"/>
        </w:rPr>
        <w:t>Корт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построен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период</w:t>
      </w:r>
      <w:proofErr w:type="spellEnd"/>
      <w:r>
        <w:rPr>
          <w:sz w:val="28"/>
        </w:rPr>
        <w:t xml:space="preserve"> 1980 </w:t>
      </w:r>
      <w:proofErr w:type="spellStart"/>
      <w:r>
        <w:rPr>
          <w:sz w:val="28"/>
        </w:rPr>
        <w:t>годов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представлял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</w:t>
      </w:r>
      <w:r>
        <w:rPr>
          <w:sz w:val="28"/>
        </w:rPr>
        <w:t>иторию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огороженную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периметру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деревянным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ограждением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Обустройство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хоккейного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</w:t>
      </w:r>
      <w:proofErr w:type="spellEnd"/>
      <w:r>
        <w:rPr>
          <w:sz w:val="28"/>
        </w:rPr>
        <w:t xml:space="preserve">  с </w:t>
      </w:r>
      <w:proofErr w:type="spellStart"/>
      <w:r>
        <w:rPr>
          <w:sz w:val="28"/>
        </w:rPr>
        <w:t>целью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благоприятных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досуга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занятий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круглый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, </w:t>
      </w:r>
      <w:r>
        <w:rPr>
          <w:color w:val="2D2D2D"/>
          <w:sz w:val="28"/>
        </w:rPr>
        <w:t xml:space="preserve"> с </w:t>
      </w:r>
      <w:proofErr w:type="spellStart"/>
      <w:r>
        <w:rPr>
          <w:color w:val="2D2D2D"/>
          <w:sz w:val="28"/>
        </w:rPr>
        <w:t>целью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воспитания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здорового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образа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жизн</w:t>
      </w:r>
      <w:r>
        <w:rPr>
          <w:color w:val="2D2D2D"/>
          <w:sz w:val="28"/>
        </w:rPr>
        <w:t>и</w:t>
      </w:r>
      <w:proofErr w:type="spellEnd"/>
      <w:r>
        <w:rPr>
          <w:color w:val="2D2D2D"/>
          <w:sz w:val="28"/>
        </w:rPr>
        <w:t xml:space="preserve">. </w:t>
      </w:r>
      <w:proofErr w:type="spellStart"/>
      <w:r>
        <w:rPr>
          <w:color w:val="2D2D2D"/>
          <w:sz w:val="28"/>
        </w:rPr>
        <w:t>Летом</w:t>
      </w:r>
      <w:proofErr w:type="spellEnd"/>
      <w:r>
        <w:rPr>
          <w:color w:val="2D2D2D"/>
          <w:sz w:val="28"/>
        </w:rPr>
        <w:t xml:space="preserve"> </w:t>
      </w:r>
      <w:r>
        <w:rPr>
          <w:sz w:val="28"/>
        </w:rPr>
        <w:t>–</w:t>
      </w:r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игры</w:t>
      </w:r>
      <w:proofErr w:type="spellEnd"/>
      <w:r>
        <w:rPr>
          <w:color w:val="2D2D2D"/>
          <w:sz w:val="28"/>
        </w:rPr>
        <w:t xml:space="preserve"> </w:t>
      </w:r>
      <w:r>
        <w:rPr>
          <w:sz w:val="28"/>
        </w:rPr>
        <w:t xml:space="preserve"> с </w:t>
      </w:r>
      <w:proofErr w:type="spellStart"/>
      <w:r>
        <w:rPr>
          <w:sz w:val="28"/>
        </w:rPr>
        <w:t>мячом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зимой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катание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коньках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хоккей</w:t>
      </w:r>
      <w:proofErr w:type="spellEnd"/>
      <w:r>
        <w:rPr>
          <w:sz w:val="28"/>
        </w:rPr>
        <w:t xml:space="preserve">.  </w:t>
      </w:r>
      <w:proofErr w:type="spellStart"/>
      <w:r>
        <w:rPr>
          <w:sz w:val="28"/>
        </w:rPr>
        <w:t>Занятие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отдыхом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специализированных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площадках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благотворно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влияет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укрепляет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Совместные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r>
        <w:rPr>
          <w:sz w:val="28"/>
        </w:rPr>
        <w:t>анятия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укрепляют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взаимоотношения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между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родителями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детьми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способствуют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развитию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детско-родительских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повышению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заинтересованности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развитии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оказывают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положительное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влияние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эмоциональный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микроклимат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r>
        <w:rPr>
          <w:sz w:val="28"/>
        </w:rPr>
        <w:t>мьи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Планируется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проведение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соревнований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конкурсов</w:t>
      </w:r>
      <w:proofErr w:type="spellEnd"/>
      <w:r>
        <w:rPr>
          <w:sz w:val="28"/>
        </w:rPr>
        <w:t xml:space="preserve">  и </w:t>
      </w:r>
      <w:proofErr w:type="spellStart"/>
      <w:r>
        <w:rPr>
          <w:sz w:val="28"/>
        </w:rPr>
        <w:t>праздников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привлечением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наибольшего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количества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поселка</w:t>
      </w:r>
      <w:proofErr w:type="spellEnd"/>
      <w:r>
        <w:rPr>
          <w:sz w:val="28"/>
        </w:rPr>
        <w:t xml:space="preserve">. С </w:t>
      </w:r>
      <w:proofErr w:type="spellStart"/>
      <w:r>
        <w:rPr>
          <w:sz w:val="28"/>
        </w:rPr>
        <w:t>учетом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обустройства корта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планируется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летний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период</w:t>
      </w:r>
      <w:proofErr w:type="spellEnd"/>
      <w:r>
        <w:rPr>
          <w:sz w:val="28"/>
        </w:rPr>
        <w:t xml:space="preserve">:  </w:t>
      </w:r>
      <w:proofErr w:type="spellStart"/>
      <w:r>
        <w:rPr>
          <w:sz w:val="28"/>
        </w:rPr>
        <w:t>игры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мячом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футбол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подростков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взрослых</w:t>
      </w:r>
      <w:proofErr w:type="spellEnd"/>
      <w:r>
        <w:rPr>
          <w:sz w:val="28"/>
        </w:rPr>
        <w:t>.</w:t>
      </w:r>
    </w:p>
    <w:p w:rsidR="008002DE" w:rsidRDefault="00E75A25">
      <w:pPr>
        <w:pStyle w:val="Textbody"/>
        <w:jc w:val="both"/>
      </w:pPr>
      <w:proofErr w:type="spellStart"/>
      <w:r>
        <w:rPr>
          <w:sz w:val="28"/>
        </w:rPr>
        <w:t>Целесообразность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обусловлена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сложившихся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повышения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качества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сфере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. 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</w:t>
      </w:r>
      <w:r>
        <w:rPr>
          <w:sz w:val="28"/>
        </w:rPr>
        <w:t>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производиться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использованием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целевого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путем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реализации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отдельной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специализированной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больший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эффективности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лучшую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связь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объемов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достижением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планируем</w:t>
      </w:r>
      <w:r>
        <w:rPr>
          <w:sz w:val="28"/>
        </w:rPr>
        <w:t>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результатов</w:t>
      </w:r>
      <w:proofErr w:type="spellEnd"/>
      <w:r>
        <w:rPr>
          <w:sz w:val="28"/>
        </w:rPr>
        <w:t>.</w:t>
      </w:r>
    </w:p>
    <w:p w:rsidR="008002DE" w:rsidRDefault="00E75A25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 xml:space="preserve">     </w:t>
      </w:r>
    </w:p>
    <w:p w:rsidR="008002DE" w:rsidRDefault="00E75A2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2DE" w:rsidRDefault="00E75A25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III.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8002DE" w:rsidRDefault="008002DE">
      <w:pPr>
        <w:pStyle w:val="Standard"/>
        <w:jc w:val="both"/>
        <w:rPr>
          <w:sz w:val="28"/>
          <w:szCs w:val="28"/>
        </w:rPr>
      </w:pP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8002DE" w:rsidRDefault="00E75A25">
      <w:pPr>
        <w:pStyle w:val="Standard"/>
        <w:jc w:val="both"/>
      </w:pP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>: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Совершенствование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>;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>.</w:t>
      </w:r>
    </w:p>
    <w:p w:rsidR="008002DE" w:rsidRDefault="00E75A25">
      <w:pPr>
        <w:pStyle w:val="Standard"/>
        <w:jc w:val="both"/>
      </w:pP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занимаясь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;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любительского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совершенствование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вовлечение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подростков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систематические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>;</w:t>
      </w:r>
    </w:p>
    <w:p w:rsidR="008002DE" w:rsidRDefault="008002DE">
      <w:pPr>
        <w:pStyle w:val="Standard"/>
        <w:jc w:val="both"/>
      </w:pPr>
    </w:p>
    <w:p w:rsidR="008002DE" w:rsidRDefault="00E75A25">
      <w:pPr>
        <w:pStyle w:val="Standard"/>
        <w:jc w:val="both"/>
      </w:pPr>
      <w:proofErr w:type="spellStart"/>
      <w:r>
        <w:rPr>
          <w:sz w:val="28"/>
          <w:szCs w:val="28"/>
        </w:rPr>
        <w:t>Ожидаемые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: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Созданные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</w:t>
      </w:r>
      <w:proofErr w:type="spellStart"/>
      <w:r>
        <w:rPr>
          <w:sz w:val="28"/>
          <w:szCs w:val="28"/>
          <w:lang w:val="ru-RU"/>
        </w:rPr>
        <w:t>сельсого</w:t>
      </w:r>
      <w:proofErr w:type="spellEnd"/>
      <w:r>
        <w:rPr>
          <w:sz w:val="28"/>
          <w:szCs w:val="28"/>
          <w:lang w:val="ru-RU"/>
        </w:rPr>
        <w:t xml:space="preserve">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;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улучшенное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любительского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подъем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8002DE" w:rsidRDefault="00E75A25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усовершенствованная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регулярно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>);</w:t>
      </w:r>
    </w:p>
    <w:p w:rsidR="008002DE" w:rsidRDefault="00E75A25">
      <w:pPr>
        <w:pStyle w:val="Standard"/>
        <w:jc w:val="both"/>
        <w:sectPr w:rsidR="008002DE">
          <w:pgSz w:w="11905" w:h="16837"/>
          <w:pgMar w:top="1134" w:right="848" w:bottom="993" w:left="1134" w:header="720" w:footer="720" w:gutter="0"/>
          <w:cols w:space="720"/>
        </w:sectPr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успешная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>.</w:t>
      </w:r>
    </w:p>
    <w:p w:rsidR="008002DE" w:rsidRDefault="008002DE">
      <w:pPr>
        <w:pStyle w:val="Standard"/>
        <w:jc w:val="both"/>
        <w:rPr>
          <w:rFonts w:cs="Times New Roman"/>
          <w:sz w:val="28"/>
          <w:szCs w:val="28"/>
        </w:rPr>
      </w:pPr>
    </w:p>
    <w:p w:rsidR="008002DE" w:rsidRDefault="00E75A2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8002DE" w:rsidRDefault="00E75A25">
      <w:pPr>
        <w:pStyle w:val="Standard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8002DE" w:rsidRDefault="00E75A2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</w:t>
      </w:r>
    </w:p>
    <w:p w:rsidR="008002DE" w:rsidRDefault="00E75A25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Костромского муниципального района Костромской области «Обустройство хо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ккейного корта п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».</w:t>
      </w:r>
    </w:p>
    <w:p w:rsidR="008002DE" w:rsidRDefault="008002DE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12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56"/>
        <w:gridCol w:w="1644"/>
        <w:gridCol w:w="1668"/>
        <w:gridCol w:w="3866"/>
        <w:gridCol w:w="72"/>
      </w:tblGrid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7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финансирования</w:t>
            </w:r>
            <w:r>
              <w:rPr>
                <w:rFonts w:cs="Times New Roman"/>
              </w:rPr>
              <w:t>,</w:t>
            </w:r>
          </w:p>
          <w:p w:rsidR="008002DE" w:rsidRDefault="00E75A2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02DE" w:rsidRDefault="008002D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год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8002DE" w:rsidRDefault="00E75A2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4000,00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Созданные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Сущевского </w:t>
            </w:r>
            <w:proofErr w:type="spellStart"/>
            <w:r>
              <w:rPr>
                <w:sz w:val="28"/>
                <w:szCs w:val="28"/>
                <w:lang w:val="ru-RU"/>
              </w:rPr>
              <w:t>сельсого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поселения,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любительского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подъем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популярности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</w:t>
            </w:r>
            <w:r>
              <w:rPr>
                <w:sz w:val="28"/>
                <w:szCs w:val="28"/>
              </w:rPr>
              <w:t>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усовершенствованная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регулярно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8002DE" w:rsidRDefault="00E75A25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успешная подготовка и выступление сборных команд.</w:t>
            </w: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1198,995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1198,995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63,105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63,105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2287,900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2287,900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</w:tr>
      <w:tr w:rsidR="008002DE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E75A2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450,00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E" w:rsidRDefault="008002DE">
            <w:pPr>
              <w:suppressAutoHyphens w:val="0"/>
            </w:pPr>
          </w:p>
        </w:tc>
      </w:tr>
    </w:tbl>
    <w:p w:rsidR="008002DE" w:rsidRDefault="008002DE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sectPr w:rsidR="008002DE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25" w:rsidRDefault="00E75A25">
      <w:r>
        <w:separator/>
      </w:r>
    </w:p>
  </w:endnote>
  <w:endnote w:type="continuationSeparator" w:id="0">
    <w:p w:rsidR="00E75A25" w:rsidRDefault="00E7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25" w:rsidRDefault="00E75A25">
      <w:r>
        <w:rPr>
          <w:color w:val="000000"/>
        </w:rPr>
        <w:separator/>
      </w:r>
    </w:p>
  </w:footnote>
  <w:footnote w:type="continuationSeparator" w:id="0">
    <w:p w:rsidR="00E75A25" w:rsidRDefault="00E7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2D6"/>
    <w:multiLevelType w:val="multilevel"/>
    <w:tmpl w:val="272C4C4C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EC73251"/>
    <w:multiLevelType w:val="multilevel"/>
    <w:tmpl w:val="2FEE2C0A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2DE"/>
    <w:rsid w:val="008002DE"/>
    <w:rsid w:val="00E75A25"/>
    <w:rsid w:val="00E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2020-12-03T12:42:00Z</cp:lastPrinted>
  <dcterms:created xsi:type="dcterms:W3CDTF">2022-02-27T08:03:00Z</dcterms:created>
  <dcterms:modified xsi:type="dcterms:W3CDTF">2022-02-27T08:03:00Z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