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ED" w:rsidRDefault="00120DED">
      <w:pPr>
        <w:pStyle w:val="Standard"/>
        <w:jc w:val="center"/>
      </w:pPr>
      <w:bookmarkStart w:id="0" w:name="_GoBack"/>
      <w:bookmarkEnd w:id="0"/>
    </w:p>
    <w:p w:rsidR="00120DED" w:rsidRDefault="00A8711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120DED" w:rsidRDefault="00A8711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120DED" w:rsidRDefault="00A8711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120DED" w:rsidRDefault="00120D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20DED" w:rsidRDefault="00A87114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DED" w:rsidRDefault="00120D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120DED" w:rsidRDefault="00A87114">
      <w:pPr>
        <w:pStyle w:val="Standard"/>
      </w:pPr>
      <w:r>
        <w:rPr>
          <w:rFonts w:cs="Times New Roman"/>
          <w:sz w:val="28"/>
          <w:szCs w:val="28"/>
          <w:lang w:val="ru-RU"/>
        </w:rPr>
        <w:t>От  09 ноября</w:t>
      </w:r>
      <w:r>
        <w:rPr>
          <w:rFonts w:cs="Times New Roman"/>
          <w:sz w:val="28"/>
          <w:szCs w:val="28"/>
        </w:rPr>
        <w:t xml:space="preserve"> 20</w:t>
      </w:r>
      <w:r>
        <w:rPr>
          <w:rFonts w:cs="Times New Roman"/>
          <w:sz w:val="28"/>
          <w:szCs w:val="28"/>
          <w:lang w:val="ru-RU"/>
        </w:rPr>
        <w:t xml:space="preserve">21 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  <w:lang w:val="ru-RU"/>
        </w:rPr>
        <w:t xml:space="preserve"> 99</w:t>
      </w: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120DED" w:rsidRDefault="00120DE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8"/>
        <w:gridCol w:w="5247"/>
      </w:tblGrid>
      <w:tr w:rsidR="00120DED">
        <w:tblPrEx>
          <w:tblCellMar>
            <w:top w:w="0" w:type="dxa"/>
            <w:bottom w:w="0" w:type="dxa"/>
          </w:tblCellMar>
        </w:tblPrEx>
        <w:tc>
          <w:tcPr>
            <w:tcW w:w="470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 xml:space="preserve">Об утверждении Муниципальной программы «Мероприятия по борьбе с борщевиком Сосновского на территории Сущевского сельского 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поселения на 2022-2024 годы»</w:t>
            </w:r>
          </w:p>
        </w:tc>
        <w:tc>
          <w:tcPr>
            <w:tcW w:w="524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120DED" w:rsidRDefault="00120DED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120DED" w:rsidRDefault="00A87114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</w:t>
      </w:r>
      <w:r>
        <w:rPr>
          <w:rFonts w:cs="Times New Roman"/>
          <w:sz w:val="28"/>
          <w:szCs w:val="28"/>
          <w:lang w:val="ru-RU"/>
        </w:rPr>
        <w:t xml:space="preserve"> 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120DED" w:rsidRDefault="00A87114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eastAsia="Calibri" w:cs="Times New Roman"/>
          <w:sz w:val="28"/>
          <w:szCs w:val="28"/>
          <w:lang w:val="ru-RU" w:eastAsia="ru-RU"/>
        </w:rPr>
        <w:t>администрация ПОСТАНОВЛЯЕТ:</w:t>
      </w:r>
    </w:p>
    <w:p w:rsidR="00120DED" w:rsidRDefault="00A87114">
      <w:pPr>
        <w:pStyle w:val="Standard"/>
        <w:numPr>
          <w:ilvl w:val="0"/>
          <w:numId w:val="5"/>
        </w:numPr>
        <w:jc w:val="both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Утвердить </w:t>
      </w:r>
      <w:r>
        <w:rPr>
          <w:rFonts w:eastAsia="Arial" w:cs="Times New Roman"/>
          <w:sz w:val="28"/>
          <w:szCs w:val="28"/>
          <w:lang w:val="ru-RU"/>
        </w:rPr>
        <w:t>Муниципальную программу 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Мероприятия по борьбе с борщевиком Сосновского на территории Сущевского сельского поселения на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 2022-2024 годы</w:t>
      </w:r>
      <w:r>
        <w:rPr>
          <w:rFonts w:eastAsia="Arial" w:cs="Times New Roman"/>
          <w:sz w:val="28"/>
          <w:szCs w:val="28"/>
          <w:lang w:val="ru-RU"/>
        </w:rPr>
        <w:t>»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 (Приложение).</w:t>
      </w:r>
    </w:p>
    <w:p w:rsidR="00120DED" w:rsidRDefault="00A87114">
      <w:pPr>
        <w:pStyle w:val="Standard"/>
        <w:numPr>
          <w:ilvl w:val="0"/>
          <w:numId w:val="5"/>
        </w:numPr>
        <w:jc w:val="both"/>
      </w:pPr>
      <w:r>
        <w:rPr>
          <w:sz w:val="28"/>
          <w:szCs w:val="28"/>
          <w:lang w:val="ru-RU"/>
        </w:rPr>
        <w:t>Постановление №51 от 31.08.2020 года «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борьбе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борщевиком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Сущевского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2020-2022 </w:t>
      </w:r>
      <w:proofErr w:type="spellStart"/>
      <w:r>
        <w:rPr>
          <w:sz w:val="28"/>
          <w:szCs w:val="28"/>
        </w:rPr>
        <w:t>годы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считать утратившим силу с 01 января </w:t>
      </w:r>
      <w:r>
        <w:rPr>
          <w:sz w:val="28"/>
          <w:szCs w:val="28"/>
          <w:lang w:val="ru-RU"/>
        </w:rPr>
        <w:t>2022 года.</w:t>
      </w:r>
    </w:p>
    <w:p w:rsidR="00120DED" w:rsidRDefault="00A8711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вступает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силу</w:t>
      </w:r>
      <w:proofErr w:type="spellEnd"/>
      <w:r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  <w:lang w:val="ru-RU"/>
        </w:rPr>
        <w:t>01 января 2022 года, подлежит опубликованию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в общественно-политическом издании «Депутатский вестник»,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Сущевского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>».</w:t>
      </w:r>
    </w:p>
    <w:p w:rsidR="00120DED" w:rsidRDefault="00A8711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</w:t>
      </w:r>
      <w:r>
        <w:rPr>
          <w:rFonts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120DED" w:rsidRDefault="00A87114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120DED" w:rsidRDefault="00120DED">
      <w:pPr>
        <w:pStyle w:val="Standard"/>
        <w:jc w:val="both"/>
        <w:rPr>
          <w:sz w:val="28"/>
          <w:szCs w:val="28"/>
        </w:rPr>
      </w:pPr>
    </w:p>
    <w:p w:rsidR="00120DED" w:rsidRDefault="00120DED">
      <w:pPr>
        <w:pStyle w:val="Standard"/>
        <w:jc w:val="both"/>
        <w:rPr>
          <w:sz w:val="28"/>
          <w:szCs w:val="28"/>
          <w:lang w:val="ru-RU"/>
        </w:rPr>
      </w:pPr>
    </w:p>
    <w:p w:rsidR="00120DED" w:rsidRDefault="00A87114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</w:t>
      </w:r>
      <w:r>
        <w:rPr>
          <w:lang w:val="ru-RU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  <w:lang w:val="ru-RU"/>
        </w:rPr>
        <w:t>И.А. Аристова</w:t>
      </w:r>
    </w:p>
    <w:p w:rsidR="00120DED" w:rsidRDefault="00120DED">
      <w:pPr>
        <w:pStyle w:val="Standard"/>
        <w:jc w:val="both"/>
      </w:pPr>
    </w:p>
    <w:p w:rsidR="00120DED" w:rsidRDefault="00A8711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</w:t>
      </w:r>
    </w:p>
    <w:p w:rsidR="00120DED" w:rsidRDefault="00120DED">
      <w:pPr>
        <w:pStyle w:val="Standard"/>
        <w:jc w:val="both"/>
        <w:rPr>
          <w:sz w:val="28"/>
          <w:szCs w:val="28"/>
          <w:lang w:val="ru-RU"/>
        </w:rPr>
      </w:pPr>
    </w:p>
    <w:p w:rsidR="00120DED" w:rsidRDefault="00120DED">
      <w:pPr>
        <w:pStyle w:val="Standard"/>
        <w:jc w:val="both"/>
        <w:rPr>
          <w:sz w:val="28"/>
          <w:szCs w:val="28"/>
          <w:lang w:val="ru-RU"/>
        </w:rPr>
      </w:pPr>
    </w:p>
    <w:p w:rsidR="00120DED" w:rsidRDefault="00120DED">
      <w:pPr>
        <w:pStyle w:val="Standard"/>
        <w:jc w:val="both"/>
        <w:rPr>
          <w:sz w:val="28"/>
          <w:szCs w:val="28"/>
          <w:lang w:val="ru-RU"/>
        </w:rPr>
      </w:pPr>
    </w:p>
    <w:p w:rsidR="00120DED" w:rsidRDefault="00A871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:rsidR="00120DED" w:rsidRDefault="00120DED">
      <w:pPr>
        <w:pStyle w:val="Standard"/>
        <w:jc w:val="both"/>
        <w:rPr>
          <w:sz w:val="28"/>
          <w:szCs w:val="28"/>
          <w:lang w:val="ru-RU"/>
        </w:rPr>
      </w:pPr>
    </w:p>
    <w:p w:rsidR="00120DED" w:rsidRDefault="00A87114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lastRenderedPageBreak/>
        <w:t>Приложение</w:t>
      </w:r>
    </w:p>
    <w:p w:rsidR="00120DED" w:rsidRDefault="00A871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к постановлению администрации</w:t>
      </w:r>
    </w:p>
    <w:p w:rsidR="00120DED" w:rsidRDefault="00A871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                                           Сущевского сельского поселения  </w:t>
      </w:r>
    </w:p>
    <w:p w:rsidR="00120DED" w:rsidRDefault="00A87114">
      <w:pPr>
        <w:pStyle w:val="Standard"/>
        <w:tabs>
          <w:tab w:val="left" w:pos="709"/>
        </w:tabs>
        <w:jc w:val="both"/>
      </w:pPr>
      <w:r>
        <w:rPr>
          <w:sz w:val="28"/>
          <w:szCs w:val="28"/>
          <w:lang w:val="ru-RU"/>
        </w:rPr>
        <w:t xml:space="preserve">                                                                                от  09 ноября 2021 года №99   </w:t>
      </w:r>
    </w:p>
    <w:p w:rsidR="00120DED" w:rsidRDefault="00A87114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120DED" w:rsidRDefault="00A87114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120DED" w:rsidRDefault="00120DE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120DED" w:rsidRDefault="00120DED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120DED" w:rsidRDefault="00A87114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120DED" w:rsidRDefault="00A87114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Мероприятия по борьбе с борщевиком Сосновского на территории Сущевского сельского поселения на 2022-2024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120DED" w:rsidRDefault="00120DED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120DED" w:rsidRDefault="00A87114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120DED" w:rsidRDefault="00A87114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Мер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оприятия по борьбе с борщевиком Сосновского на территории Сущевского сельского поселения на 2022-2024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120DED" w:rsidRDefault="00120DED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120DE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</w:t>
            </w:r>
            <w:r>
              <w:rPr>
                <w:rFonts w:cs="Times New Roman"/>
                <w:sz w:val="28"/>
                <w:szCs w:val="28"/>
              </w:rPr>
              <w:t>ти</w:t>
            </w:r>
            <w:proofErr w:type="spellEnd"/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 годы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Цель </w:t>
            </w:r>
            <w:r>
              <w:rPr>
                <w:sz w:val="28"/>
                <w:szCs w:val="28"/>
                <w:lang w:val="ru-RU"/>
              </w:rPr>
              <w:t>программы: Локализация и ликвидация очагов распространения борщевика на территории  Сущевского сельского поселения, а также исключение случаев травматизма среди населения.</w:t>
            </w:r>
          </w:p>
          <w:p w:rsidR="00120DED" w:rsidRDefault="00A87114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Задачи программы:</w:t>
            </w:r>
          </w:p>
          <w:p w:rsidR="00120DED" w:rsidRDefault="00A87114">
            <w:pPr>
              <w:pStyle w:val="Standard"/>
              <w:numPr>
                <w:ilvl w:val="0"/>
                <w:numId w:val="6"/>
              </w:num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Искоренение дикорастущих посевов сорняка борщевик Сосновского и не</w:t>
            </w:r>
            <w:r>
              <w:rPr>
                <w:sz w:val="28"/>
                <w:szCs w:val="28"/>
                <w:lang w:val="ru-RU"/>
              </w:rPr>
              <w:t>допущение его дальнейшего распространения.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Полное </w:t>
            </w:r>
            <w:proofErr w:type="spellStart"/>
            <w:r>
              <w:rPr>
                <w:sz w:val="28"/>
                <w:szCs w:val="28"/>
                <w:lang w:val="ru-RU"/>
              </w:rPr>
              <w:t>ликвидирование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очагов произрастания борщевика Сосновского на площади 1 га.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</w:t>
            </w:r>
            <w:r>
              <w:rPr>
                <w:sz w:val="28"/>
                <w:szCs w:val="28"/>
              </w:rPr>
              <w:t xml:space="preserve">2020-2022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530,00 тыс. рублей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-162,00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90,00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282,00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</w:t>
            </w:r>
            <w:r>
              <w:rPr>
                <w:sz w:val="28"/>
                <w:szCs w:val="28"/>
              </w:rPr>
              <w:t>ии)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- 0,00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бюджет: 267,00 тыс. рублей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- 81,00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 - 45,00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 - 141,00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бюджет: 267,00 тыс. рублей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81,00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45,00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141,00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</w:t>
            </w:r>
            <w:r>
              <w:rPr>
                <w:sz w:val="28"/>
                <w:szCs w:val="28"/>
              </w:rPr>
              <w:t>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рублей,</w:t>
            </w:r>
          </w:p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— 0,00 тыс. рублей.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>(ы)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20DED" w:rsidRDefault="00A87114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120DED" w:rsidRDefault="00120DED">
      <w:pPr>
        <w:pStyle w:val="Standard"/>
        <w:autoSpaceDE w:val="0"/>
        <w:jc w:val="both"/>
        <w:rPr>
          <w:sz w:val="28"/>
          <w:szCs w:val="28"/>
        </w:rPr>
      </w:pPr>
    </w:p>
    <w:p w:rsidR="00120DED" w:rsidRDefault="00A87114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120DED" w:rsidRDefault="00A87114">
      <w:pPr>
        <w:pStyle w:val="ab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Программа разработана  в  соответствии с п.19 ч.1, ч. 3 ст.14,   Федерального закона от 06.10.2003 № 131-ФЗ «Об общих принципах организации местного самоуправления в Российской Федерации».</w:t>
      </w:r>
    </w:p>
    <w:p w:rsidR="00120DED" w:rsidRDefault="00A87114">
      <w:pPr>
        <w:pStyle w:val="ab"/>
        <w:jc w:val="both"/>
      </w:pPr>
      <w:r>
        <w:rPr>
          <w:sz w:val="28"/>
          <w:szCs w:val="28"/>
          <w:lang w:val="ru-RU"/>
        </w:rPr>
        <w:t xml:space="preserve">        В 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>настоящее время борщевик Сосновского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интенсивно распространяется на заброшенных землях, на </w:t>
      </w:r>
      <w:proofErr w:type="spellStart"/>
      <w:r>
        <w:rPr>
          <w:rFonts w:eastAsia="Times New Roman"/>
          <w:kern w:val="0"/>
          <w:sz w:val="28"/>
          <w:szCs w:val="28"/>
          <w:lang w:val="ru-RU" w:eastAsia="ru-RU" w:bidi="ar-SA"/>
        </w:rPr>
        <w:t>сельхозначениях</w:t>
      </w:r>
      <w:proofErr w:type="spellEnd"/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</w:t>
      </w: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 </w:t>
      </w:r>
    </w:p>
    <w:p w:rsidR="00120DED" w:rsidRDefault="00A87114">
      <w:pPr>
        <w:pStyle w:val="ab"/>
        <w:jc w:val="both"/>
      </w:pPr>
      <w:r>
        <w:rPr>
          <w:rFonts w:eastAsia="Times New Roman"/>
          <w:kern w:val="0"/>
          <w:sz w:val="28"/>
          <w:szCs w:val="28"/>
          <w:lang w:val="ru-RU" w:eastAsia="ru-RU" w:bidi="ar-SA"/>
        </w:rPr>
        <w:t xml:space="preserve">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Борщевик Сосновского (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Heracleum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sosnowskyi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Manden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 – многолетнее растение из семейств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 Сельдерейные, цикл развития которого длится от 2 до 7 лет и более. Листья и плоды борщевика богаты эфирными маслами, содержащими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фурокумарины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- фотосенсибилизирующие вещества. При попадании на кожу эти вещества ослабляют ее устойчивость против ультрафиол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 В некоторых с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 Также в растении содержатся биоло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гически активные вещества - </w:t>
      </w:r>
      <w:proofErr w:type="spell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фитоэкстрогены</w:t>
      </w:r>
      <w:proofErr w:type="spell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которые могут вызывать расстройство воспроизводительной функции у животных.</w:t>
      </w:r>
    </w:p>
    <w:p w:rsidR="00120DED" w:rsidRDefault="00A87114">
      <w:pPr>
        <w:pStyle w:val="Standard"/>
        <w:jc w:val="both"/>
      </w:pPr>
      <w:r>
        <w:rPr>
          <w:rFonts w:cs="Times New Roman"/>
          <w:sz w:val="28"/>
          <w:szCs w:val="28"/>
          <w:lang w:val="ru-RU"/>
        </w:rPr>
        <w:t xml:space="preserve">        На территории Сущевского сельского поселения распространяется борщевик Сосновского, представляя серьезную опасность для здоровья</w:t>
      </w:r>
      <w:r>
        <w:rPr>
          <w:rFonts w:cs="Times New Roman"/>
          <w:sz w:val="28"/>
          <w:szCs w:val="28"/>
          <w:lang w:val="ru-RU"/>
        </w:rPr>
        <w:t xml:space="preserve"> населения. Площадь территорий, где произрастает борщевик  Сосновского 7,5 гектаров. Все очаги произрастания борщевика нанесены на карту поселения. Непринятие своевременных мер по борьбе с ним приведет к  увеличению засоренных борщевиком площадей, обострен</w:t>
      </w:r>
      <w:r>
        <w:rPr>
          <w:rFonts w:cs="Times New Roman"/>
          <w:sz w:val="28"/>
          <w:szCs w:val="28"/>
          <w:lang w:val="ru-RU"/>
        </w:rPr>
        <w:t xml:space="preserve">ию экологической ситуации. Необходимо </w:t>
      </w:r>
      <w:proofErr w:type="spellStart"/>
      <w:r>
        <w:rPr>
          <w:rFonts w:cs="Times New Roman"/>
          <w:sz w:val="28"/>
          <w:szCs w:val="28"/>
          <w:lang w:val="ru-RU"/>
        </w:rPr>
        <w:t>планово</w:t>
      </w:r>
      <w:proofErr w:type="spellEnd"/>
      <w:r>
        <w:rPr>
          <w:rFonts w:cs="Times New Roman"/>
          <w:sz w:val="28"/>
          <w:szCs w:val="28"/>
          <w:lang w:val="ru-RU"/>
        </w:rPr>
        <w:t xml:space="preserve"> проводить обработку зараженных территорий от  борщевика Сосновского.</w:t>
      </w:r>
    </w:p>
    <w:p w:rsidR="00120DED" w:rsidRDefault="00120DED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120DED" w:rsidRDefault="00A87114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120DED" w:rsidRDefault="00120DED">
      <w:pPr>
        <w:pStyle w:val="Standard"/>
        <w:autoSpaceDE w:val="0"/>
        <w:jc w:val="center"/>
      </w:pPr>
    </w:p>
    <w:p w:rsidR="00120DED" w:rsidRDefault="00A87114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120DED" w:rsidRDefault="00A87114">
      <w:pPr>
        <w:pStyle w:val="Standard"/>
        <w:autoSpaceDE w:val="0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Мероприятия по борьбе с борщевиком Сосновского на территории Сущевского сельского поселения на 2022-2024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120DED" w:rsidRDefault="00120DED">
      <w:pPr>
        <w:pStyle w:val="Standard"/>
        <w:jc w:val="right"/>
        <w:rPr>
          <w:sz w:val="28"/>
          <w:szCs w:val="28"/>
        </w:rPr>
      </w:pPr>
    </w:p>
    <w:p w:rsidR="00120DED" w:rsidRDefault="00120DED">
      <w:pPr>
        <w:pStyle w:val="Standard"/>
        <w:jc w:val="right"/>
        <w:rPr>
          <w:sz w:val="28"/>
          <w:szCs w:val="28"/>
        </w:rPr>
      </w:pPr>
    </w:p>
    <w:p w:rsidR="00120DED" w:rsidRDefault="00A87114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1559"/>
        <w:gridCol w:w="1399"/>
        <w:gridCol w:w="1403"/>
        <w:gridCol w:w="1436"/>
      </w:tblGrid>
      <w:tr w:rsidR="00120DE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4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949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Standard"/>
              <w:jc w:val="both"/>
            </w:pPr>
            <w:proofErr w:type="spellStart"/>
            <w:r>
              <w:t>Цель</w:t>
            </w:r>
            <w:proofErr w:type="spellEnd"/>
            <w:r>
              <w:t xml:space="preserve">: 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Л</w:t>
            </w:r>
            <w:proofErr w:type="spellStart"/>
            <w:r>
              <w:rPr>
                <w:sz w:val="28"/>
                <w:szCs w:val="28"/>
              </w:rPr>
              <w:t>окализация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ликвидация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очагов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распространения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борщевика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территории</w:t>
            </w:r>
            <w:proofErr w:type="spellEnd"/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  <w:lang w:val="ru-RU"/>
              </w:rPr>
              <w:t>Сущевского сельского поселения</w:t>
            </w:r>
            <w:r>
              <w:rPr>
                <w:sz w:val="28"/>
                <w:szCs w:val="28"/>
              </w:rPr>
              <w:t xml:space="preserve">, а </w:t>
            </w:r>
            <w:proofErr w:type="spellStart"/>
            <w:r>
              <w:rPr>
                <w:sz w:val="28"/>
                <w:szCs w:val="28"/>
              </w:rPr>
              <w:t>также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исключение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случаев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травматизма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населения</w:t>
            </w:r>
            <w:proofErr w:type="spellEnd"/>
            <w:r>
              <w:t>.</w:t>
            </w:r>
          </w:p>
          <w:p w:rsidR="00120DED" w:rsidRDefault="00120DED">
            <w:pPr>
              <w:pStyle w:val="TableContents"/>
              <w:jc w:val="both"/>
              <w:rPr>
                <w:lang w:val="ru-RU"/>
              </w:rPr>
            </w:pP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lang w:val="ru-RU" w:eastAsia="ar-SA"/>
              </w:rPr>
              <w:t xml:space="preserve">Искоренение дикорастущих посевов сорняка </w:t>
            </w:r>
            <w:r>
              <w:rPr>
                <w:rFonts w:eastAsia="SimSun" w:cs="Times New Roman"/>
                <w:bCs/>
                <w:lang w:val="ru-RU" w:eastAsia="ar-SA"/>
              </w:rPr>
              <w:t>борщевик Сосновского и недопущение его дальнейшего распространения.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Standard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>1.</w:t>
            </w:r>
            <w:r>
              <w:rPr>
                <w:rFonts w:eastAsia="SimSun" w:cs="Times New Roman"/>
                <w:bCs/>
                <w:lang w:val="ru-RU" w:eastAsia="ar-SA"/>
              </w:rPr>
              <w:tab/>
              <w:t>Количество территорий Сущевского сельского поселения, где искоренен борщевик Сосновского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r>
              <w:rPr>
                <w:lang w:val="ru-RU"/>
              </w:rPr>
              <w:t>шт.</w:t>
            </w:r>
          </w:p>
        </w:tc>
        <w:tc>
          <w:tcPr>
            <w:tcW w:w="1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r>
              <w:rPr>
                <w:rFonts w:eastAsia="SimSun" w:cs="Times New Roman"/>
                <w:bCs/>
                <w:lang w:val="ru-RU" w:eastAsia="ar-SA"/>
              </w:rPr>
              <w:t>1</w:t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>
            <w:pPr>
              <w:pStyle w:val="TableContents"/>
              <w:jc w:val="center"/>
              <w:rPr>
                <w:shd w:val="clear" w:color="auto" w:fill="FFFF00"/>
                <w:lang w:val="ru-RU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>
            <w:pPr>
              <w:pStyle w:val="TableContents"/>
              <w:jc w:val="center"/>
              <w:rPr>
                <w:shd w:val="clear" w:color="auto" w:fill="FFFF00"/>
                <w:lang w:val="ru-RU"/>
              </w:rPr>
            </w:pPr>
          </w:p>
        </w:tc>
      </w:tr>
    </w:tbl>
    <w:p w:rsidR="00000000" w:rsidRDefault="00A87114">
      <w:pPr>
        <w:sectPr w:rsidR="00000000">
          <w:pgSz w:w="11906" w:h="16838"/>
          <w:pgMar w:top="1134" w:right="850" w:bottom="1134" w:left="1559" w:header="720" w:footer="720" w:gutter="0"/>
          <w:cols w:space="720"/>
        </w:sectPr>
      </w:pPr>
    </w:p>
    <w:p w:rsidR="00120DED" w:rsidRDefault="00120DED">
      <w:pPr>
        <w:pStyle w:val="Standard"/>
        <w:jc w:val="both"/>
        <w:rPr>
          <w:rFonts w:cs="Times New Roman"/>
          <w:sz w:val="28"/>
          <w:szCs w:val="28"/>
        </w:rPr>
      </w:pPr>
    </w:p>
    <w:p w:rsidR="00120DED" w:rsidRDefault="00A8711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20DED" w:rsidRDefault="00A87114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120DED" w:rsidRDefault="00A87114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Мероприятия по борьбе с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борщевиком Сосновского на территории Сущевского сельского поселения на 2022-2024 годы»</w:t>
      </w:r>
    </w:p>
    <w:p w:rsidR="00120DED" w:rsidRDefault="00120DED">
      <w:pPr>
        <w:pStyle w:val="Standard"/>
        <w:jc w:val="center"/>
        <w:rPr>
          <w:rFonts w:eastAsia="Times New Roman" w:cs="Times New Roman"/>
          <w:iCs/>
          <w:color w:val="000000"/>
          <w:sz w:val="28"/>
          <w:szCs w:val="28"/>
          <w:lang w:val="ru-RU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324"/>
        <w:gridCol w:w="1418"/>
        <w:gridCol w:w="1340"/>
        <w:gridCol w:w="1210"/>
        <w:gridCol w:w="1372"/>
        <w:gridCol w:w="3200"/>
      </w:tblGrid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мероприятия  и источники финансирования</w:t>
            </w:r>
          </w:p>
        </w:tc>
        <w:tc>
          <w:tcPr>
            <w:tcW w:w="85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120DED" w:rsidRDefault="00A87114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2024</w:t>
            </w:r>
          </w:p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jc w:val="center"/>
            </w:pPr>
            <w:r>
              <w:t>Всего по муниципальной программе,</w:t>
            </w:r>
          </w:p>
          <w:p w:rsidR="00120DED" w:rsidRDefault="00A87114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534,00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162,00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282,00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Искоренение очагов произрастания борщевика Сосновского 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</w:pPr>
            <w:r>
              <w:t xml:space="preserve">областной </w:t>
            </w:r>
            <w:r>
              <w:t>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267,00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</w:pPr>
            <w: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267,00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  <w:rPr>
                <w:rFonts w:eastAsia="Andale Sans UI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6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</w:pPr>
            <w:r>
              <w:tab/>
              <w:t>Искоренение дикорастущих посевов сорняка борщевик Сосновского и недопущение его дальнейшего распространения.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</w:t>
            </w:r>
          </w:p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</w:t>
            </w:r>
            <w:r>
              <w:rPr>
                <w:rFonts w:cs="Times New Roman"/>
                <w:sz w:val="20"/>
                <w:szCs w:val="20"/>
                <w:lang w:val="ru-RU"/>
              </w:rPr>
              <w:t>«Обработка территории (площадь 7,5 га)</w:t>
            </w:r>
            <w:r>
              <w:rPr>
                <w:rFonts w:cs="Times New Roman"/>
                <w:lang w:val="ru-RU"/>
              </w:rPr>
              <w:t xml:space="preserve"> от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борщевика Сосновского»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534,00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162,00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282,00</w:t>
            </w:r>
          </w:p>
        </w:tc>
        <w:tc>
          <w:tcPr>
            <w:tcW w:w="32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плановых обработок территории от борщевика Сосновского</w:t>
            </w:r>
          </w:p>
        </w:tc>
      </w:tr>
      <w:tr w:rsidR="00120DE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267,00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267,00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81,00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45,00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141,00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120DED">
        <w:tblPrEx>
          <w:tblCellMar>
            <w:top w:w="0" w:type="dxa"/>
            <w:bottom w:w="0" w:type="dxa"/>
          </w:tblCellMar>
        </w:tblPrEx>
        <w:tc>
          <w:tcPr>
            <w:tcW w:w="7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/>
        </w:tc>
        <w:tc>
          <w:tcPr>
            <w:tcW w:w="5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A87114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0DED" w:rsidRDefault="00120DED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120DED" w:rsidRDefault="00A87114">
      <w:pPr>
        <w:pStyle w:val="Standard"/>
        <w:autoSpaceDE w:val="0"/>
        <w:ind w:firstLine="540"/>
        <w:jc w:val="both"/>
      </w:pPr>
      <w:r>
        <w:rPr>
          <w:sz w:val="28"/>
          <w:szCs w:val="28"/>
          <w:lang w:val="ru-RU"/>
        </w:rPr>
        <w:t xml:space="preserve"> </w:t>
      </w:r>
    </w:p>
    <w:sectPr w:rsidR="00120DED">
      <w:headerReference w:type="default" r:id="rId8"/>
      <w:footerReference w:type="default" r:id="rId9"/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114" w:rsidRDefault="00A87114">
      <w:r>
        <w:separator/>
      </w:r>
    </w:p>
  </w:endnote>
  <w:endnote w:type="continuationSeparator" w:id="0">
    <w:p w:rsidR="00A87114" w:rsidRDefault="00A8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5C" w:rsidRDefault="00A871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114" w:rsidRDefault="00A87114">
      <w:r>
        <w:rPr>
          <w:color w:val="000000"/>
        </w:rPr>
        <w:separator/>
      </w:r>
    </w:p>
  </w:footnote>
  <w:footnote w:type="continuationSeparator" w:id="0">
    <w:p w:rsidR="00A87114" w:rsidRDefault="00A87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5C" w:rsidRDefault="00A871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F8A"/>
    <w:multiLevelType w:val="multilevel"/>
    <w:tmpl w:val="EA066C60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ECB2498"/>
    <w:multiLevelType w:val="multilevel"/>
    <w:tmpl w:val="347864F2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1B5711"/>
    <w:multiLevelType w:val="multilevel"/>
    <w:tmpl w:val="FCDE783A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AD09C6"/>
    <w:multiLevelType w:val="multilevel"/>
    <w:tmpl w:val="5712DA2E"/>
    <w:lvl w:ilvl="0">
      <w:start w:val="1"/>
      <w:numFmt w:val="decimal"/>
      <w:lvlText w:val="%1."/>
      <w:lvlJc w:val="left"/>
      <w:pPr>
        <w:ind w:left="915" w:hanging="55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4081"/>
    <w:multiLevelType w:val="multilevel"/>
    <w:tmpl w:val="A2760668"/>
    <w:lvl w:ilvl="0">
      <w:start w:val="1"/>
      <w:numFmt w:val="decimal"/>
      <w:lvlText w:val="%1."/>
      <w:lvlJc w:val="left"/>
      <w:pPr>
        <w:ind w:left="885" w:hanging="360"/>
      </w:pPr>
      <w:rPr>
        <w:rFonts w:eastAsia="Andale Sans UI"/>
        <w:color w:val="auto"/>
      </w:r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13B22E2"/>
    <w:multiLevelType w:val="multilevel"/>
    <w:tmpl w:val="E72E6A44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0DED"/>
    <w:rsid w:val="00050B73"/>
    <w:rsid w:val="00120DED"/>
    <w:rsid w:val="00A8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2021-11-11T07:39:00Z</cp:lastPrinted>
  <dcterms:created xsi:type="dcterms:W3CDTF">2022-02-17T10:42:00Z</dcterms:created>
  <dcterms:modified xsi:type="dcterms:W3CDTF">2022-02-17T10:42:00Z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