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5"/>
        <w:pBdr/>
        <w:spacing w:after="0" w:before="0" w:beforeAutospacing="0" w:line="283" w:lineRule="atLeast"/>
        <w:ind w:right="0" w:firstLine="0" w:left="0"/>
        <w:jc w:val="center"/>
        <w:rPr>
          <w:rFonts w:ascii="PT Serif" w:hAnsi="PT Serif" w:cs="PT Serif"/>
          <w:b/>
          <w:bCs/>
          <w:sz w:val="24"/>
          <w:szCs w:val="24"/>
          <w:highlight w:val="none"/>
        </w:rPr>
      </w:pPr>
      <w:r>
        <w:rPr>
          <w:rFonts w:ascii="PT Serif" w:hAnsi="PT Serif" w:eastAsia="PT Serif" w:cs="PT Serif"/>
          <w:b/>
          <w:sz w:val="24"/>
          <w:szCs w:val="24"/>
          <w:highlight w:val="none"/>
          <w:lang w:eastAsia="ru-RU"/>
        </w:rPr>
        <w:t xml:space="preserve">Управления Россельхознадзора сообщает о карантинных объектах, способных распространяться на территории Костромской области</w:t>
      </w:r>
      <w:r>
        <w:rPr>
          <w:rFonts w:ascii="PT Serif" w:hAnsi="PT Serif" w:eastAsia="PT Serif" w:cs="PT Serif"/>
          <w:b/>
          <w:bCs/>
          <w:sz w:val="24"/>
          <w:szCs w:val="24"/>
          <w:highlight w:val="none"/>
        </w:rPr>
      </w:r>
    </w:p>
    <w:p>
      <w:pPr>
        <w:pBdr/>
        <w:spacing w:after="0" w:before="0" w:beforeAutospacing="0" w:line="283" w:lineRule="atLeast"/>
        <w:ind/>
        <w:jc w:val="both"/>
        <w:rPr>
          <w:rFonts w:ascii="PT Serif" w:hAnsi="PT Serif" w:cs="PT Serif"/>
          <w:b/>
          <w:bCs/>
          <w:sz w:val="24"/>
          <w:szCs w:val="24"/>
          <w:highlight w:val="none"/>
        </w:rPr>
      </w:pPr>
      <w:r>
        <w:rPr>
          <w:rFonts w:ascii="PT Serif" w:hAnsi="PT Serif" w:eastAsia="PT Serif" w:cs="PT Serif"/>
          <w:b/>
          <w:sz w:val="24"/>
          <w:szCs w:val="24"/>
          <w:highlight w:val="none"/>
          <w:lang w:eastAsia="ru-RU"/>
        </w:rPr>
      </w:r>
      <w:r>
        <w:rPr>
          <w:rFonts w:ascii="PT Serif" w:hAnsi="PT Serif" w:eastAsia="PT Serif" w:cs="PT Serif"/>
          <w:b/>
          <w:sz w:val="24"/>
          <w:szCs w:val="24"/>
          <w:highlight w:val="none"/>
          <w:lang w:eastAsia="ru-RU"/>
        </w:rPr>
      </w:r>
      <w:r>
        <w:rPr>
          <w:rFonts w:ascii="PT Serif" w:hAnsi="PT Serif" w:cs="PT Serif"/>
          <w:b/>
          <w:bCs/>
          <w:sz w:val="24"/>
          <w:szCs w:val="24"/>
          <w:highlight w:val="none"/>
        </w:rPr>
      </w:r>
    </w:p>
    <w:p>
      <w:pPr>
        <w:pStyle w:val="835"/>
        <w:pBdr/>
        <w:spacing w:after="0" w:before="0" w:beforeAutospacing="0" w:line="283" w:lineRule="atLeast"/>
        <w:ind w:right="0" w:firstLine="709" w:left="0"/>
        <w:jc w:val="both"/>
        <w:rPr>
          <w:rFonts w:ascii="PT Serif" w:hAnsi="PT Serif" w:cs="PT Serif"/>
          <w:sz w:val="24"/>
          <w:szCs w:val="24"/>
          <w:highlight w:val="none"/>
        </w:rPr>
      </w:pP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Управлени</w:t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е Россельхозна</w:t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дзора по Владимирской, Костромской</w:t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 и Ивановской областям обращает внимание руководителей органов местного самоуправления, юридических лиц, индивидуальных предпринимателей и граждан на угрозу проникновения и распространения карантинных объектов на территории Костромской области.</w:t>
      </w:r>
      <w:r>
        <w:rPr>
          <w:rFonts w:ascii="PT Serif" w:hAnsi="PT Serif" w:eastAsia="PT Serif" w:cs="PT Serif"/>
          <w:sz w:val="24"/>
          <w:szCs w:val="24"/>
          <w:highlight w:val="none"/>
        </w:rPr>
      </w:r>
    </w:p>
    <w:p>
      <w:pPr>
        <w:pBdr/>
        <w:spacing w:after="0" w:before="0" w:beforeAutospacing="0" w:line="283" w:lineRule="atLeast"/>
        <w:ind w:right="0" w:firstLine="709" w:left="0"/>
        <w:jc w:val="both"/>
        <w:rPr>
          <w:rFonts w:ascii="PT Serif" w:hAnsi="PT Serif" w:cs="PT Serif"/>
          <w:sz w:val="24"/>
          <w:szCs w:val="24"/>
          <w:highlight w:val="none"/>
        </w:rPr>
      </w:pPr>
      <w:r>
        <w:rPr>
          <w:rFonts w:ascii="PT Serif" w:hAnsi="PT Serif" w:eastAsia="PT Serif" w:cs="PT Serif"/>
          <w:sz w:val="24"/>
          <w:szCs w:val="24"/>
          <w:highlight w:val="none"/>
        </w:rPr>
        <w:t xml:space="preserve">В связи с увеличением грузопотока растительной продукции, ее ассортимента, а также снижением административных барьеров при её перевозке серьезно возрос риск заноса карантинных объектов в теплицы, сады, поля, склады, приусадебные участки, лесные насаждения и иные места её произрастания, выращивания и складирования.</w:t>
      </w:r>
      <w:r>
        <w:rPr>
          <w:rFonts w:ascii="PT Serif" w:hAnsi="PT Serif" w:eastAsia="PT Serif" w:cs="PT Serif"/>
          <w:sz w:val="24"/>
          <w:szCs w:val="24"/>
          <w:highlight w:val="none"/>
        </w:rPr>
      </w:r>
    </w:p>
    <w:p>
      <w:pPr>
        <w:pBdr/>
        <w:spacing w:after="0" w:before="0" w:beforeAutospacing="0" w:line="283" w:lineRule="atLeast"/>
        <w:ind w:right="0" w:firstLine="709" w:left="0"/>
        <w:jc w:val="both"/>
        <w:rPr>
          <w:rFonts w:ascii="PT Serif" w:hAnsi="PT Serif" w:cs="PT Serif"/>
          <w:sz w:val="24"/>
          <w:szCs w:val="24"/>
          <w:highlight w:val="none"/>
        </w:rPr>
      </w:pPr>
      <w:r>
        <w:rPr>
          <w:rFonts w:ascii="PT Serif" w:hAnsi="PT Serif" w:eastAsia="PT Serif" w:cs="PT Serif"/>
          <w:sz w:val="24"/>
          <w:szCs w:val="24"/>
          <w:highlight w:val="none"/>
        </w:rPr>
        <w:t xml:space="preserve">В настоящее время существует вероятность заноса таких карантинных объектов как:</w:t>
      </w:r>
      <w:r>
        <w:rPr>
          <w:rFonts w:ascii="PT Serif" w:hAnsi="PT Serif" w:eastAsia="PT Serif" w:cs="PT Serif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beforeAutospacing="0" w:line="283" w:lineRule="atLeast"/>
        <w:ind w:right="0" w:firstLine="709" w:left="0"/>
        <w:jc w:val="both"/>
        <w:rPr>
          <w:rFonts w:ascii="PT Serif" w:hAnsi="PT Serif" w:cs="PT Serif"/>
          <w:color w:val="1c1c1c"/>
          <w:spacing w:val="4"/>
          <w:sz w:val="24"/>
          <w:szCs w:val="24"/>
          <w:highlight w:val="none"/>
        </w:rPr>
      </w:pPr>
      <w:r>
        <w:rPr>
          <w:rFonts w:ascii="PT Serif" w:hAnsi="PT Serif" w:eastAsia="PT Serif" w:cs="PT Serif"/>
          <w:b/>
          <w:bCs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59265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1660560" cy="2214772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34448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1660560" cy="2214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51659265;o:allowoverlap:true;o:allowincell:true;mso-position-horizontal-relative:text;margin-left:0.00pt;mso-position-horizontal:absolute;mso-position-vertical-relative:text;margin-top:9.75pt;mso-position-vertical:absolute;width:130.75pt;height:174.39pt;mso-wrap-distance-left:9.07pt;mso-wrap-distance-top:0.00pt;mso-wrap-distance-right:9.07pt;mso-wrap-distance-bottom:0.00pt;z-index:1;" stroked="false">
                <w10:wrap type="square"/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PT Serif" w:hAnsi="PT Serif" w:eastAsia="PT Serif" w:cs="PT Serif"/>
          <w:b/>
          <w:bCs/>
          <w:sz w:val="24"/>
          <w:szCs w:val="24"/>
          <w:highlight w:val="none"/>
        </w:rPr>
      </w:r>
      <w:r/>
      <w:r>
        <w:rPr>
          <w:rFonts w:ascii="PT Serif" w:hAnsi="PT Serif" w:eastAsia="PT Serif" w:cs="PT Serif"/>
          <w:b/>
          <w:bCs/>
          <w:sz w:val="24"/>
          <w:szCs w:val="24"/>
          <w:highlight w:val="none"/>
        </w:rPr>
      </w:r>
      <w:r/>
      <w:r>
        <w:rPr>
          <w:rFonts w:ascii="PT Serif" w:hAnsi="PT Serif" w:eastAsia="PT Serif" w:cs="PT Serif"/>
          <w:b/>
          <w:bCs/>
          <w:sz w:val="24"/>
          <w:szCs w:val="24"/>
          <w:highlight w:val="none"/>
        </w:rPr>
        <w:t xml:space="preserve">Ясеневая изумрудная златка</w:t>
      </w:r>
      <w:r>
        <w:rPr>
          <w:rFonts w:ascii="PT Serif" w:hAnsi="PT Serif" w:eastAsia="PT Serif" w:cs="PT Serif"/>
          <w:b/>
          <w:bCs/>
          <w:sz w:val="24"/>
          <w:szCs w:val="24"/>
          <w:highlight w:val="none"/>
        </w:rPr>
        <w:t xml:space="preserve">.</w:t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 </w:t>
      </w:r>
      <w:r>
        <w:rPr>
          <w:rFonts w:ascii="PT Serif" w:hAnsi="PT Serif" w:eastAsia="PT Serif" w:cs="PT Serif"/>
          <w:color w:val="1c1c1c"/>
          <w:spacing w:val="4"/>
          <w:sz w:val="24"/>
          <w:szCs w:val="24"/>
          <w:highlight w:val="none"/>
        </w:rPr>
        <w:t xml:space="preserve">Ясеневая изумрудная узкотелая златка – опасный стволовый вредитель. Она нападает на здоровые деревья и вызывает их усыхание за два-три года. Насекомое поражает различные виды ясеня и может наносить вред защитным лесополосам, если в их составе есть эти дере</w:t>
      </w:r>
      <w:r>
        <w:rPr>
          <w:rFonts w:ascii="PT Serif" w:hAnsi="PT Serif" w:eastAsia="PT Serif" w:cs="PT Serif"/>
          <w:color w:val="1c1c1c"/>
          <w:spacing w:val="4"/>
          <w:sz w:val="24"/>
          <w:szCs w:val="24"/>
          <w:highlight w:val="none"/>
        </w:rPr>
        <w:t xml:space="preserve">вья. Признаки поражения златкой включают D-образные летные отверстия, извилистые ходы под корой, обесцвечивание и усыхание листвы, отмирание ветвей, деформацию и растрескивание коры, смолотечение и другие. </w:t>
      </w:r>
      <w:r>
        <w:rPr>
          <w:rFonts w:ascii="PT Serif" w:hAnsi="PT Serif" w:eastAsia="PT Serif" w:cs="PT Serif"/>
          <w:color w:val="1c1c1c"/>
          <w:spacing w:val="4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beforeAutospacing="0" w:line="283" w:lineRule="atLeast"/>
        <w:ind w:right="0" w:firstLine="709" w:left="0"/>
        <w:jc w:val="both"/>
        <w:rPr>
          <w:rFonts w:ascii="PT Serif" w:hAnsi="PT Serif" w:cs="PT Serif"/>
          <w:sz w:val="24"/>
          <w:szCs w:val="24"/>
          <w:highlight w:val="none"/>
        </w:rPr>
      </w:pPr>
      <w:r>
        <w:rPr>
          <w:rFonts w:ascii="PT Serif" w:hAnsi="PT Serif" w:eastAsia="PT Serif" w:cs="PT Serif"/>
          <w:color w:val="1c1c1c"/>
          <w:spacing w:val="4"/>
          <w:sz w:val="24"/>
          <w:szCs w:val="24"/>
          <w:highlight w:val="none"/>
        </w:rPr>
        <w:t xml:space="preserve">По данным Россельхознадзора, за три предыдущих года площадь поражения вредителем выросла в 26 раз, достигнув 5,2 млн га. </w:t>
      </w:r>
      <w:r>
        <w:rPr>
          <w:rFonts w:ascii="PT Serif" w:hAnsi="PT Serif" w:eastAsia="PT Serif" w:cs="PT Serif"/>
          <w:color w:val="1c1c1c"/>
          <w:spacing w:val="4"/>
          <w:sz w:val="24"/>
          <w:szCs w:val="24"/>
          <w:highlight w:val="none"/>
        </w:rPr>
        <w:t xml:space="preserve">Искоренение популяции этого вредителя возможно только путём вырубки и уничтожения поражённых деревьев, а также здоровых деревьев в радиусе не менее 100 метров от заражённых.</w:t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beforeAutospacing="0" w:line="283" w:lineRule="atLeast"/>
        <w:ind w:right="0" w:firstLine="709" w:left="0"/>
        <w:jc w:val="both"/>
        <w:rPr>
          <w:rFonts w:ascii="PT Serif" w:hAnsi="PT Serif" w:cs="PT Serif"/>
          <w:b w:val="0"/>
          <w:bCs w:val="0"/>
          <w:color w:val="333333"/>
          <w:sz w:val="24"/>
          <w:szCs w:val="24"/>
          <w:highlight w:val="none"/>
        </w:rPr>
      </w:pPr>
      <w:r>
        <w:rPr>
          <w:rFonts w:ascii="PT Serif" w:hAnsi="PT Serif" w:eastAsia="PT Serif" w:cs="PT Serif"/>
          <w:b/>
          <w:bCs/>
          <w:color w:val="333333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2337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64755</wp:posOffset>
                </wp:positionV>
                <wp:extent cx="1946197" cy="1781473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95940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1946197" cy="17814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251662337;o:allowoverlap:true;o:allowincell:true;mso-position-horizontal-relative:text;margin-left:0.00pt;mso-position-horizontal:absolute;mso-position-vertical-relative:text;margin-top:5.10pt;mso-position-vertical:absolute;width:153.24pt;height:140.27pt;mso-wrap-distance-left:9.07pt;mso-wrap-distance-top:0.00pt;mso-wrap-distance-right:9.07pt;mso-wrap-distance-bottom:0.00pt;z-index:1;" stroked="false">
                <w10:wrap type="square"/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PT Serif" w:hAnsi="PT Serif" w:eastAsia="PT Serif" w:cs="PT Serif"/>
          <w:b/>
          <w:bCs/>
          <w:color w:val="333333"/>
          <w:sz w:val="24"/>
          <w:szCs w:val="24"/>
          <w:highlight w:val="none"/>
        </w:rPr>
        <w:t xml:space="preserve">Бактериальный ожог плодовых культ</w:t>
      </w:r>
      <w:r>
        <w:rPr>
          <w:rFonts w:ascii="PT Serif" w:hAnsi="PT Serif" w:eastAsia="PT Serif" w:cs="PT Serif"/>
          <w:b/>
          <w:bCs/>
          <w:color w:val="333333"/>
          <w:sz w:val="24"/>
          <w:szCs w:val="24"/>
          <w:highlight w:val="none"/>
        </w:rPr>
        <w:t xml:space="preserve">ур </w:t>
      </w:r>
      <w:r>
        <w:rPr>
          <w:rFonts w:ascii="PT Serif" w:hAnsi="PT Serif" w:eastAsia="PT Serif" w:cs="PT Serif"/>
          <w:color w:val="333333"/>
          <w:sz w:val="24"/>
          <w:szCs w:val="24"/>
          <w:highlight w:val="none"/>
        </w:rPr>
        <w:t xml:space="preserve">— </w:t>
      </w:r>
      <w:r>
        <w:rPr>
          <w:rFonts w:ascii="PT Serif" w:hAnsi="PT Serif" w:eastAsia="PT Serif" w:cs="PT Serif"/>
          <w:b w:val="0"/>
          <w:bCs w:val="0"/>
          <w:color w:val="333333"/>
          <w:sz w:val="24"/>
          <w:szCs w:val="24"/>
          <w:highlight w:val="none"/>
        </w:rPr>
        <w:t xml:space="preserve">опасное инфекционное заболевание культурных и дикорастущих растений семейства розоцветных. </w:t>
      </w:r>
      <w:r>
        <w:rPr>
          <w:rFonts w:ascii="PT Serif" w:hAnsi="PT Serif" w:eastAsia="PT Serif" w:cs="PT Serif"/>
          <w:color w:val="333333"/>
          <w:sz w:val="24"/>
          <w:szCs w:val="24"/>
          <w:highlight w:val="none"/>
        </w:rPr>
        <w:t xml:space="preserve">Бактериальный ожог стал напастью для владельцев груш, яблонь и других плодовых растений. </w:t>
      </w:r>
      <w:r>
        <w:rPr>
          <w:rFonts w:ascii="PT Serif" w:hAnsi="PT Serif" w:eastAsia="PT Serif" w:cs="PT Serif"/>
          <w:color w:val="383838"/>
          <w:sz w:val="24"/>
          <w:szCs w:val="24"/>
          <w:highlight w:val="none"/>
        </w:rPr>
        <w:t xml:space="preserve">П</w:t>
      </w:r>
      <w:r>
        <w:rPr>
          <w:rFonts w:ascii="PT Serif" w:hAnsi="PT Serif" w:eastAsia="PT Serif" w:cs="PT Serif"/>
          <w:color w:val="383838"/>
          <w:sz w:val="24"/>
          <w:szCs w:val="24"/>
          <w:highlight w:val="none"/>
        </w:rPr>
        <w:t xml:space="preserve">ри благоприятных во время цветения погодных условиях может привести к значительному снижению урожая, а иногда и полностью его уничтожить. Кроме того, отмирание побегов, ветвей, а иногда и гибель деревьев приводит к потерям урож</w:t>
      </w:r>
      <w:r>
        <w:rPr>
          <w:rFonts w:ascii="PT Serif" w:hAnsi="PT Serif" w:eastAsia="PT Serif" w:cs="PT Serif"/>
          <w:color w:val="383838"/>
          <w:sz w:val="24"/>
          <w:szCs w:val="24"/>
          <w:highlight w:val="none"/>
        </w:rPr>
        <w:t xml:space="preserve">ая следующего года. Ход развития инфекции настолько быстр, что даже при применении неотложных мер после первого обнаружения симптомов невозможно сохранить деревья, и они погибают. Экономические потери при этом могут быть чрезвычайно большими. Как правило, </w:t>
      </w:r>
      <w:r>
        <w:rPr>
          <w:rFonts w:ascii="PT Serif" w:hAnsi="PT Serif" w:eastAsia="PT Serif" w:cs="PT Serif"/>
          <w:color w:val="383838"/>
          <w:sz w:val="24"/>
          <w:szCs w:val="24"/>
          <w:highlight w:val="none"/>
        </w:rPr>
        <w:t xml:space="preserve">поражение плодовых насаждений достигает 20-50%, при этом от 10 до 20% больных деревьев погибает. Больших затрат требует работа по выявлению и локализации новых очагов бактериального ожога, а также меры химического и биологического контроля болезни в местах</w:t>
      </w:r>
      <w:r>
        <w:rPr>
          <w:rFonts w:ascii="PT Serif" w:hAnsi="PT Serif" w:eastAsia="PT Serif" w:cs="PT Serif"/>
          <w:color w:val="383838"/>
          <w:sz w:val="24"/>
          <w:szCs w:val="24"/>
          <w:highlight w:val="none"/>
        </w:rPr>
        <w:t xml:space="preserve"> ее распространения.</w:t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b w:val="0"/>
          <w:bCs w:val="0"/>
          <w:color w:val="333333"/>
          <w:sz w:val="24"/>
          <w:szCs w:val="24"/>
          <w:highlight w:val="none"/>
        </w:rPr>
      </w:r>
    </w:p>
    <w:p>
      <w:pPr>
        <w:pBdr/>
        <w:spacing w:after="0" w:before="0" w:beforeAutospacing="0" w:line="283" w:lineRule="atLeast"/>
        <w:ind w:right="0" w:firstLine="709" w:left="0"/>
        <w:jc w:val="both"/>
        <w:rPr>
          <w:rFonts w:ascii="PT Serif" w:hAnsi="PT Serif" w:cs="PT Serif"/>
          <w:color w:val="000000"/>
          <w:sz w:val="24"/>
          <w:szCs w:val="24"/>
          <w:highlight w:val="none"/>
        </w:rPr>
      </w:pPr>
      <w:r>
        <w:rPr>
          <w:rFonts w:ascii="PT Serif" w:hAnsi="PT Serif" w:eastAsia="PT Serif" w:cs="PT Serif"/>
          <w:b/>
          <w:bCs/>
          <w:color w:val="383838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3361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85550</wp:posOffset>
                </wp:positionV>
                <wp:extent cx="2300310" cy="1725232"/>
                <wp:effectExtent l="0" t="0" r="0" b="0"/>
                <wp:wrapSquare wrapText="bothSides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59567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2300309" cy="1725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251663361;o:allowoverlap:true;o:allowincell:true;mso-position-horizontal-relative:text;margin-left:4.50pt;mso-position-horizontal:absolute;mso-position-vertical-relative:text;margin-top:6.74pt;mso-position-vertical:absolute;width:181.13pt;height:135.85pt;mso-wrap-distance-left:9.07pt;mso-wrap-distance-top:0.00pt;mso-wrap-distance-right:9.07pt;mso-wrap-distance-bottom:0.00pt;z-index:1;" stroked="false">
                <w10:wrap type="square"/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PT Serif" w:hAnsi="PT Serif" w:eastAsia="PT Serif" w:cs="PT Serif"/>
          <w:b/>
          <w:bCs/>
          <w:color w:val="383838"/>
          <w:sz w:val="24"/>
          <w:szCs w:val="24"/>
          <w:highlight w:val="none"/>
        </w:rPr>
        <w:t xml:space="preserve">Вирусные заболевания томатов. </w:t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С июля 2021 года в Единый перечень карантинных объектов ЕАЭС включены 3 новых вирусных заболевания </w:t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попадание которых в тепличные хозяйства в частности и приусадебные участки России в целом может привести к серьезным проблемам</w:t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. Поражают они </w:t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томаты, разные виды перцев (коричневая морщинистость), баклажан, пепино, томат (мозаика пепино), томат, перец, салат, картофель, цветочные культуры (вирус бронзовости).</w:t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 </w:t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</w:p>
    <w:p>
      <w:pPr>
        <w:pBdr/>
        <w:spacing w:after="0" w:before="0" w:beforeAutospacing="0" w:line="283" w:lineRule="atLeast"/>
        <w:ind w:right="0" w:firstLine="709" w:left="0"/>
        <w:jc w:val="both"/>
        <w:rPr>
          <w:rFonts w:ascii="PT Serif" w:hAnsi="PT Serif" w:cs="PT Serif"/>
          <w:color w:val="000000"/>
          <w:sz w:val="24"/>
          <w:szCs w:val="24"/>
          <w:highlight w:val="none"/>
        </w:rPr>
      </w:pP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</w:r>
      <w:r/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У зараженных </w:t>
      </w:r>
      <w:r>
        <w:rPr>
          <w:rFonts w:ascii="PT Serif" w:hAnsi="PT Serif" w:eastAsia="PT Serif" w:cs="PT Serif"/>
          <w:b/>
          <w:color w:val="000000"/>
          <w:sz w:val="24"/>
          <w:szCs w:val="24"/>
          <w:highlight w:val="none"/>
        </w:rPr>
        <w:t xml:space="preserve">вирусом</w:t>
      </w:r>
      <w:r>
        <w:rPr>
          <w:rFonts w:ascii="PT Serif" w:hAnsi="PT Serif" w:eastAsia="PT Serif" w:cs="PT Serif"/>
          <w:b/>
          <w:color w:val="000000"/>
          <w:sz w:val="24"/>
          <w:szCs w:val="24"/>
          <w:highlight w:val="none"/>
        </w:rPr>
        <w:t xml:space="preserve"> коричневой морщинистостью</w:t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 растений наблюдается остановка роста и развития, уменьшение размеров, в целом снижается жизнеспособность растений и повышается восприимчивость к возбудителям других болезней. В некоторых случаях может произойти полная гибель растения. </w:t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</w:r>
    </w:p>
    <w:p>
      <w:pPr>
        <w:pBdr/>
        <w:spacing w:after="0" w:before="0" w:beforeAutospacing="0" w:line="283" w:lineRule="atLeast"/>
        <w:ind w:right="0" w:firstLine="709" w:left="0"/>
        <w:jc w:val="both"/>
        <w:rPr>
          <w:rFonts w:ascii="PT Serif" w:hAnsi="PT Serif" w:cs="PT Serif"/>
          <w:color w:val="000000"/>
          <w:sz w:val="24"/>
          <w:szCs w:val="24"/>
          <w:highlight w:val="none"/>
        </w:rPr>
      </w:pP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Вредоностность вируса</w:t>
      </w:r>
      <w:r>
        <w:rPr>
          <w:rFonts w:ascii="PT Serif" w:hAnsi="PT Serif" w:eastAsia="PT Serif" w:cs="PT Serif"/>
          <w:b/>
          <w:color w:val="000000"/>
          <w:sz w:val="24"/>
          <w:szCs w:val="24"/>
          <w:highlight w:val="none"/>
        </w:rPr>
        <w:t xml:space="preserve"> мозаики пепино</w:t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 выражается в снижении общего урожая плодов, значительно теряются товарные качества урожая. Плоды томата становятся мраморными, пятнистыми, наблюдается неравномерное созревание, в целом замедляется рост и развитие зараженных растений. </w:t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Зараженные растения быстро становятся чахлыми и заражаются сопутствующими заболеваниями, плоды становятся мраморными и растрескиваются. </w:t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</w:p>
    <w:p>
      <w:pPr>
        <w:pBdr/>
        <w:spacing w:after="0" w:before="0" w:beforeAutospacing="0" w:line="283" w:lineRule="atLeast"/>
        <w:ind w:right="0" w:firstLine="709" w:left="0"/>
        <w:jc w:val="both"/>
        <w:rPr>
          <w:rFonts w:ascii="PT Serif" w:hAnsi="PT Serif" w:eastAsia="PT Serif" w:cs="PT Serif"/>
          <w:color w:val="000000"/>
          <w:sz w:val="24"/>
          <w:szCs w:val="24"/>
          <w:highlight w:val="none"/>
        </w:rPr>
      </w:pP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Вредоносность </w:t>
      </w:r>
      <w:r>
        <w:rPr>
          <w:rFonts w:ascii="PT Serif" w:hAnsi="PT Serif" w:eastAsia="PT Serif" w:cs="PT Serif"/>
          <w:b/>
          <w:color w:val="000000"/>
          <w:sz w:val="24"/>
          <w:szCs w:val="24"/>
          <w:highlight w:val="none"/>
        </w:rPr>
        <w:t xml:space="preserve">вируса бронзовости</w:t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 томатов выражается с сильном угнетении роста растений, вплоть до отмирания, снижения количества, веса плодов. При заражении на более поздних стадиях развития верхушки побегов некротизируются, а на плодах развиваются хлоротические пятна. Вирус вызывает сис</w:t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темное увядание растений, опадение цветков, крапчатость, мозаику, сетчатость, деформацию листовых пластинок. Молодые растения могут нести скрытую инфекцию и не проявлять никаких симптомов заб</w:t>
      </w: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  <w:t xml:space="preserve">олевания. </w:t>
      </w:r>
      <w:r>
        <w:rPr>
          <w:rFonts w:ascii="PT Serif" w:hAnsi="PT Serif" w:cs="PT Serif"/>
          <w:sz w:val="24"/>
          <w:szCs w:val="24"/>
          <w:highlight w:val="none"/>
        </w:rPr>
      </w:r>
    </w:p>
    <w:p>
      <w:pPr>
        <w:pBdr/>
        <w:spacing w:after="0" w:before="0" w:beforeAutospacing="0" w:line="283" w:lineRule="atLeast"/>
        <w:ind w:right="0" w:firstLine="709" w:left="0"/>
        <w:jc w:val="both"/>
        <w:rPr>
          <w:rFonts w:ascii="PT Serif" w:hAnsi="PT Serif" w:cs="PT Serif"/>
          <w:sz w:val="24"/>
          <w:szCs w:val="24"/>
          <w:highlight w:val="none"/>
        </w:rPr>
      </w:pPr>
      <w:r>
        <w:rPr>
          <w:rFonts w:ascii="PT Serif" w:hAnsi="PT Serif" w:eastAsia="PT Serif" w:cs="PT Serif"/>
          <w:color w:val="000000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Управлени</w:t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е Россельхозна</w:t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дзора по Владимирской, Костромской</w:t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 и Ивановской областям</w:t>
      </w:r>
      <w:r>
        <w:rPr>
          <w:rFonts w:ascii="PT Serif" w:hAnsi="PT Serif" w:eastAsia="PT Serif" w:cs="PT Serif"/>
          <w:sz w:val="24"/>
          <w:szCs w:val="24"/>
          <w:highlight w:val="none"/>
        </w:rPr>
        <w:t xml:space="preserve"> сообщает об </w:t>
      </w:r>
      <w:r>
        <w:rPr>
          <w:rFonts w:ascii="PT Serif" w:hAnsi="PT Serif" w:eastAsia="PT Serif" w:cs="PT Serif"/>
          <w:color w:val="212121"/>
          <w:sz w:val="24"/>
          <w:szCs w:val="24"/>
          <w:highlight w:val="none"/>
        </w:rPr>
        <w:t xml:space="preserve">обязанности всех землепользователей, а также владельцев подкарантинной продукции, немедленно извещать ведомство об обнаружении признаков заражения (засорения) продукции и объектов карантинными объектами в устан</w:t>
      </w:r>
      <w:r>
        <w:rPr>
          <w:rFonts w:ascii="PT Serif" w:hAnsi="PT Serif" w:eastAsia="PT Serif" w:cs="PT Serif"/>
          <w:b w:val="0"/>
          <w:bCs w:val="0"/>
          <w:color w:val="000000" w:themeColor="text1"/>
          <w:sz w:val="24"/>
          <w:szCs w:val="24"/>
          <w:highlight w:val="none"/>
        </w:rPr>
        <w:t xml:space="preserve">овленном законодательством порядке.</w:t>
      </w:r>
      <w:r>
        <w:rPr>
          <w:rFonts w:ascii="PT Serif" w:hAnsi="PT Serif" w:cs="PT Serif"/>
          <w:sz w:val="24"/>
          <w:szCs w:val="24"/>
          <w:highlight w:val="none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30" w:lineRule="atLeast"/>
        <w:ind w:right="0" w:firstLine="709" w:left="0"/>
        <w:jc w:val="both"/>
        <w:rPr>
          <w:rFonts w:ascii="PT Serif" w:hAnsi="PT Serif" w:cs="PT Serif"/>
          <w:b w:val="0"/>
          <w:bCs w:val="0"/>
          <w:color w:val="000000" w:themeColor="text1"/>
          <w:sz w:val="24"/>
          <w:szCs w:val="24"/>
          <w:highlight w:val="none"/>
        </w:rPr>
      </w:pPr>
      <w:r>
        <w:rPr>
          <w:rFonts w:ascii="PT Serif" w:hAnsi="PT Serif" w:eastAsia="PT Serif" w:cs="PT Serif"/>
          <w:b w:val="0"/>
          <w:bCs w:val="0"/>
          <w:color w:val="000000" w:themeColor="text1"/>
          <w:sz w:val="24"/>
          <w:szCs w:val="24"/>
          <w:highlight w:val="none"/>
        </w:rPr>
        <w:t xml:space="preserve">По вопросам извещения в случае обнаружения признаков заражения или засорения подкарантинной продукции (подкарантинных объектов) карантинными объектами на территории Костромской области следует обращаться в Управление </w:t>
      </w:r>
      <w:r>
        <w:rPr>
          <w:rFonts w:ascii="PT Serif" w:hAnsi="PT Serif" w:eastAsia="PT Serif" w:cs="PT Serif"/>
          <w:b w:val="0"/>
          <w:bCs w:val="0"/>
          <w:color w:val="000000" w:themeColor="text1"/>
          <w:sz w:val="24"/>
          <w:szCs w:val="24"/>
          <w:highlight w:val="none"/>
        </w:rPr>
        <w:t xml:space="preserve"> по адресу: </w:t>
      </w:r>
      <w:r>
        <w:rPr>
          <w:rFonts w:ascii="PT Serif" w:hAnsi="PT Serif" w:eastAsia="PT Serif" w:cs="PT Serif"/>
          <w:b w:val="0"/>
          <w:bCs w:val="0"/>
          <w:color w:val="000000" w:themeColor="text1"/>
          <w:sz w:val="24"/>
          <w:szCs w:val="24"/>
          <w:highlight w:val="none"/>
        </w:rPr>
        <w:t xml:space="preserve">156013, г. Кострома,</w:t>
      </w:r>
      <w:r>
        <w:rPr>
          <w:rFonts w:ascii="PT Serif" w:hAnsi="PT Serif" w:eastAsia="PT Serif" w:cs="PT Serif"/>
          <w:b w:val="0"/>
          <w:bCs w:val="0"/>
          <w:color w:val="000000" w:themeColor="text1"/>
          <w:sz w:val="24"/>
          <w:szCs w:val="24"/>
          <w:highlight w:val="none"/>
        </w:rPr>
        <w:t xml:space="preserve">проспект Мира, 53а, тел.: 8 (4942) 37-00-73; факс: 8 (4942) 37-12-01, E-mail: </w:t>
      </w:r>
      <w:hyperlink r:id="rId12" w:tooltip="mailto:tu8-kostroma@fsvps.gov.ru" w:history="1">
        <w:r>
          <w:rPr>
            <w:rStyle w:val="816"/>
            <w:rFonts w:ascii="PT Serif" w:hAnsi="PT Serif" w:eastAsia="PT Serif" w:cs="PT Serif"/>
            <w:b w:val="0"/>
            <w:bCs w:val="0"/>
            <w:color w:val="000000" w:themeColor="text1"/>
            <w:sz w:val="24"/>
            <w:szCs w:val="24"/>
            <w:highlight w:val="none"/>
            <w:u w:val="single"/>
          </w:rPr>
          <w:t xml:space="preserve">tu8-kostroma@fsvps.gov.ru</w:t>
        </w:r>
      </w:hyperlink>
      <w:r>
        <w:rPr>
          <w:rFonts w:ascii="PT Serif" w:hAnsi="PT Serif" w:eastAsia="PT Serif" w:cs="PT Serif"/>
          <w:b w:val="0"/>
          <w:bCs w:val="0"/>
          <w:color w:val="000000" w:themeColor="text1"/>
          <w:sz w:val="24"/>
          <w:szCs w:val="24"/>
          <w:highlight w:val="none"/>
        </w:rPr>
        <w:t xml:space="preserve">.</w:t>
      </w:r>
      <w:r>
        <w:rPr>
          <w:rFonts w:ascii="PT Serif" w:hAnsi="PT Serif" w:eastAsia="PT Serif" w:cs="PT Serif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cs="PT Serif"/>
          <w:sz w:val="24"/>
          <w:szCs w:val="24"/>
          <w:highlight w:val="none"/>
        </w:rPr>
      </w:r>
      <w:r>
        <w:rPr>
          <w:rFonts w:ascii="PT Serif" w:hAnsi="PT Serif" w:cs="PT Serif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cs="PT Serif"/>
          <w:sz w:val="24"/>
          <w:szCs w:val="24"/>
          <w:highlight w:val="none"/>
        </w:rPr>
      </w:r>
      <w:r>
        <w:rPr>
          <w:rFonts w:ascii="PT Serif" w:hAnsi="PT Serif" w:cs="PT Serif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cs="PT Serif"/>
          <w:sz w:val="24"/>
          <w:szCs w:val="24"/>
          <w:highlight w:val="none"/>
        </w:rPr>
      </w:r>
      <w:r>
        <w:rPr>
          <w:rFonts w:ascii="PT Serif" w:hAnsi="PT Serif" w:cs="PT Serif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cs="PT Serif"/>
          <w:sz w:val="24"/>
          <w:szCs w:val="24"/>
          <w:highlight w:val="none"/>
        </w:rPr>
      </w:r>
      <w:r>
        <w:rPr>
          <w:rFonts w:ascii="PT Serif" w:hAnsi="PT Serif" w:cs="PT Serif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cs="PT Serif"/>
          <w:sz w:val="24"/>
          <w:szCs w:val="24"/>
          <w:highlight w:val="none"/>
        </w:rPr>
      </w:r>
      <w:r>
        <w:rPr>
          <w:rFonts w:ascii="PT Serif" w:hAnsi="PT Serif" w:cs="PT Serif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cs="PT Serif"/>
          <w:sz w:val="24"/>
          <w:szCs w:val="24"/>
          <w:highlight w:val="none"/>
        </w:rPr>
      </w:r>
      <w:r>
        <w:rPr>
          <w:rFonts w:ascii="PT Serif" w:hAnsi="PT Serif" w:cs="PT Serif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cs="PT Serif"/>
          <w:sz w:val="24"/>
          <w:szCs w:val="24"/>
          <w:highlight w:val="none"/>
        </w:rPr>
      </w:r>
      <w:r>
        <w:rPr>
          <w:rFonts w:ascii="PT Serif" w:hAnsi="PT Serif" w:cs="PT Serif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cs="PT Serif"/>
          <w:sz w:val="24"/>
          <w:szCs w:val="24"/>
          <w:highlight w:val="none"/>
        </w:rPr>
      </w:r>
      <w:r>
        <w:rPr>
          <w:rFonts w:ascii="PT Serif" w:hAnsi="PT Serif" w:cs="PT Serif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cs="PT Serif"/>
          <w:sz w:val="24"/>
          <w:szCs w:val="24"/>
          <w:highlight w:val="none"/>
        </w:rPr>
      </w:r>
      <w:r>
        <w:rPr>
          <w:rFonts w:ascii="PT Serif" w:hAnsi="PT Serif" w:cs="PT Serif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eastAsia="PT Serif" w:cs="PT Serif"/>
          <w:sz w:val="24"/>
          <w:szCs w:val="24"/>
          <w:highlight w:val="none"/>
        </w:rPr>
      </w:r>
      <w:r>
        <w:rPr>
          <w:rFonts w:ascii="PT Serif" w:hAnsi="PT Serif" w:cs="PT Serif"/>
          <w:sz w:val="24"/>
          <w:szCs w:val="24"/>
          <w:highlight w:val="none"/>
        </w:rPr>
      </w:r>
      <w:r>
        <w:rPr>
          <w:rFonts w:ascii="PT Serif" w:hAnsi="PT Serif" w:cs="PT Serif"/>
          <w:b w:val="0"/>
          <w:bCs w:val="0"/>
          <w:color w:val="000000" w:themeColor="text1"/>
          <w:sz w:val="24"/>
          <w:szCs w:val="24"/>
          <w:highlight w:val="none"/>
        </w:rPr>
      </w:r>
    </w:p>
    <w:sectPr>
      <w:footnotePr>
        <w:numFmt w:val="decimal"/>
        <w:numRestart w:val="continuous"/>
      </w:footnotePr>
      <w:endnotePr>
        <w:numFmt w:val="lowerRoman"/>
      </w:endnotePr>
      <w:type w:val="nextPage"/>
      <w:pgSz w:h="16838" w:orient="landscape" w:w="11906"/>
      <w:pgMar w:top="709" w:right="709" w:bottom="1814" w:left="1134" w:header="709" w:footer="709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SimSun">
    <w:panose1 w:val="02000506000000020000"/>
  </w:font>
  <w:font w:name="PT Serif">
    <w:panose1 w:val="020A0603040505020204"/>
  </w:font>
  <w:font w:name="Mangal">
    <w:panose1 w:val="02040503050306020203"/>
  </w:font>
  <w:font w:name="Noto Sans Devanagari">
    <w:panose1 w:val="020B0502040504020204"/>
  </w:font>
  <w:font w:name="Lucida Sans Unicode">
    <w:panose1 w:val="020B0502040504020204"/>
  </w:font>
  <w:font w:name="Tahoma">
    <w:panose1 w:val="020B0604030504040204"/>
  </w:font>
  <w:font w:name="Segoe UI">
    <w:panose1 w:val="020B0502040504020204"/>
  </w:font>
  <w:font w:name="Calibri Light">
    <w:panose1 w:val="020F0502020204030204"/>
  </w:font>
  <w:font w:name="Times New Roman">
    <w:panose1 w:val="02020603050405020304"/>
  </w:font>
  <w:font w:name="Calibri">
    <w:panose1 w:val="020F05020202040302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836"/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pStyle w:val="837"/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1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</w:rPr>
      <w:start w:val="1"/>
      <w:suff w:val="space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space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space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</w:rPr>
      <w:start w:val="1"/>
      <w:suff w:val="space"/>
    </w:lvl>
  </w:abstractNum>
  <w:abstractNum w:abstractNumId="2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  <w:color w:val="ffffff"/>
        <w:sz w:val="30"/>
        <w:highlight w:val="none"/>
      </w:rPr>
      <w:start w:val="1"/>
      <w:suff w:val="space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  <w:color w:val="ffffff"/>
        <w:sz w:val="30"/>
        <w:highlight w:val="none"/>
      </w:rPr>
      <w:start w:val="1"/>
      <w:suff w:val="space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  <w:color w:val="ffffff"/>
        <w:sz w:val="30"/>
        <w:highlight w:val="none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  <w:color w:val="ffffff"/>
        <w:sz w:val="30"/>
        <w:highlight w:val="none"/>
      </w:rPr>
      <w:start w:val="1"/>
      <w:suff w:val="space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  <w:color w:val="ffffff"/>
        <w:sz w:val="30"/>
        <w:highlight w:val="none"/>
      </w:rPr>
      <w:start w:val="1"/>
      <w:suff w:val="space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  <w:color w:val="ffffff"/>
        <w:sz w:val="30"/>
        <w:highlight w:val="none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  <w:color w:val="ffffff"/>
        <w:sz w:val="30"/>
        <w:highlight w:val="none"/>
      </w:rPr>
      <w:start w:val="1"/>
      <w:suff w:val="space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  <w:color w:val="ffffff"/>
        <w:sz w:val="30"/>
        <w:highlight w:val="none"/>
      </w:rPr>
      <w:start w:val="1"/>
      <w:suff w:val="space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  <w:color w:val="ffffff"/>
        <w:sz w:val="30"/>
        <w:highlight w:val="none"/>
      </w:rPr>
      <w:start w:val="1"/>
      <w:suff w:val="space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Heading 1"/>
    <w:basedOn w:val="835"/>
    <w:next w:val="835"/>
    <w:link w:val="657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57">
    <w:name w:val="Heading 1 Char"/>
    <w:link w:val="656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58">
    <w:name w:val="Heading 2"/>
    <w:basedOn w:val="835"/>
    <w:next w:val="835"/>
    <w:link w:val="659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59">
    <w:name w:val="Heading 2 Char"/>
    <w:link w:val="658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60">
    <w:name w:val="Heading 3"/>
    <w:basedOn w:val="835"/>
    <w:next w:val="835"/>
    <w:link w:val="661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61">
    <w:name w:val="Heading 3 Char"/>
    <w:link w:val="660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62">
    <w:name w:val="Heading 4"/>
    <w:basedOn w:val="835"/>
    <w:next w:val="835"/>
    <w:link w:val="663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3">
    <w:name w:val="Heading 4 Char"/>
    <w:link w:val="662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64">
    <w:name w:val="Heading 5"/>
    <w:basedOn w:val="835"/>
    <w:next w:val="835"/>
    <w:link w:val="665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5">
    <w:name w:val="Heading 5 Char"/>
    <w:link w:val="664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66">
    <w:name w:val="Heading 6"/>
    <w:basedOn w:val="835"/>
    <w:next w:val="835"/>
    <w:link w:val="667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7">
    <w:name w:val="Heading 6 Char"/>
    <w:link w:val="666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68">
    <w:name w:val="Heading 7"/>
    <w:basedOn w:val="835"/>
    <w:next w:val="835"/>
    <w:link w:val="669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9">
    <w:name w:val="Heading 7 Char"/>
    <w:link w:val="668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70">
    <w:name w:val="Heading 8"/>
    <w:basedOn w:val="835"/>
    <w:next w:val="835"/>
    <w:link w:val="671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1">
    <w:name w:val="Heading 8 Char"/>
    <w:link w:val="670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72">
    <w:name w:val="Heading 9"/>
    <w:basedOn w:val="835"/>
    <w:next w:val="835"/>
    <w:link w:val="673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3">
    <w:name w:val="Heading 9 Char"/>
    <w:link w:val="672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4">
    <w:name w:val="List Paragraph"/>
    <w:basedOn w:val="835"/>
    <w:uiPriority w:val="34"/>
    <w:qFormat/>
    <w:pPr>
      <w:pBdr/>
      <w:spacing/>
      <w:ind w:left="720"/>
      <w:contextualSpacing w:val="true"/>
    </w:pPr>
  </w:style>
  <w:style w:type="paragraph" w:styleId="675">
    <w:name w:val="No Spacing"/>
    <w:uiPriority w:val="1"/>
    <w:qFormat/>
    <w:pPr>
      <w:pBdr/>
      <w:spacing w:after="0" w:before="0" w:line="240" w:lineRule="auto"/>
      <w:ind/>
    </w:pPr>
  </w:style>
  <w:style w:type="paragraph" w:styleId="676">
    <w:name w:val="Title"/>
    <w:basedOn w:val="835"/>
    <w:next w:val="835"/>
    <w:link w:val="677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77">
    <w:name w:val="Title Char"/>
    <w:link w:val="676"/>
    <w:uiPriority w:val="10"/>
    <w:pPr>
      <w:pBdr/>
      <w:spacing/>
      <w:ind/>
    </w:pPr>
    <w:rPr>
      <w:sz w:val="48"/>
      <w:szCs w:val="48"/>
    </w:rPr>
  </w:style>
  <w:style w:type="paragraph" w:styleId="678">
    <w:name w:val="Subtitle"/>
    <w:basedOn w:val="835"/>
    <w:next w:val="835"/>
    <w:link w:val="679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79">
    <w:name w:val="Subtitle Char"/>
    <w:link w:val="678"/>
    <w:uiPriority w:val="11"/>
    <w:pPr>
      <w:pBdr/>
      <w:spacing/>
      <w:ind/>
    </w:pPr>
    <w:rPr>
      <w:sz w:val="24"/>
      <w:szCs w:val="24"/>
    </w:rPr>
  </w:style>
  <w:style w:type="paragraph" w:styleId="680">
    <w:name w:val="Quote"/>
    <w:basedOn w:val="835"/>
    <w:next w:val="835"/>
    <w:link w:val="681"/>
    <w:uiPriority w:val="29"/>
    <w:qFormat/>
    <w:pPr>
      <w:pBdr/>
      <w:spacing/>
      <w:ind w:right="720" w:left="720"/>
    </w:pPr>
    <w:rPr>
      <w:i/>
    </w:rPr>
  </w:style>
  <w:style w:type="character" w:styleId="681">
    <w:name w:val="Quote Char"/>
    <w:link w:val="680"/>
    <w:uiPriority w:val="29"/>
    <w:pPr>
      <w:pBdr/>
      <w:spacing/>
      <w:ind/>
    </w:pPr>
    <w:rPr>
      <w:i/>
    </w:rPr>
  </w:style>
  <w:style w:type="paragraph" w:styleId="682">
    <w:name w:val="Intense Quote"/>
    <w:basedOn w:val="835"/>
    <w:next w:val="835"/>
    <w:link w:val="683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683">
    <w:name w:val="Intense Quote Char"/>
    <w:link w:val="682"/>
    <w:uiPriority w:val="30"/>
    <w:pPr>
      <w:pBdr/>
      <w:spacing/>
      <w:ind/>
    </w:pPr>
    <w:rPr>
      <w:i/>
    </w:rPr>
  </w:style>
  <w:style w:type="paragraph" w:styleId="684">
    <w:name w:val="Header"/>
    <w:basedOn w:val="835"/>
    <w:link w:val="685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5">
    <w:name w:val="Header Char"/>
    <w:link w:val="684"/>
    <w:uiPriority w:val="99"/>
    <w:pPr>
      <w:pBdr/>
      <w:spacing/>
      <w:ind/>
    </w:pPr>
  </w:style>
  <w:style w:type="paragraph" w:styleId="686">
    <w:name w:val="Footer"/>
    <w:basedOn w:val="835"/>
    <w:link w:val="68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7">
    <w:name w:val="Footer Char"/>
    <w:link w:val="686"/>
    <w:uiPriority w:val="99"/>
    <w:pPr>
      <w:pBdr/>
      <w:spacing/>
      <w:ind/>
    </w:pPr>
  </w:style>
  <w:style w:type="paragraph" w:styleId="688">
    <w:name w:val="Caption"/>
    <w:basedOn w:val="835"/>
    <w:next w:val="835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89">
    <w:name w:val="Caption Char"/>
    <w:basedOn w:val="688"/>
    <w:link w:val="686"/>
    <w:uiPriority w:val="99"/>
    <w:pPr>
      <w:pBdr/>
      <w:spacing/>
      <w:ind/>
    </w:pPr>
  </w:style>
  <w:style w:type="table" w:styleId="690">
    <w:name w:val="Table Grid"/>
    <w:basedOn w:val="834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Table Grid Light"/>
    <w:basedOn w:val="83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Plain Table 1"/>
    <w:basedOn w:val="83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Plain Table 2"/>
    <w:basedOn w:val="83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Plain Table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Plain Table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Plain Table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1 Light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1 Light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1 Light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1 Light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1 Light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1 Light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1 Light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2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2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2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2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2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2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3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3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3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3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3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3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4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4 - Accent 1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4 - Accent 2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4 - Accent 3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4 - Accent 4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4 - Accent 5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4 - Accent 6"/>
    <w:basedOn w:val="83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5 Dark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5 Dark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5 Dark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5 Dark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5 Dark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5 Dark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5 Dark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6 Colorful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6 Colorful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6 Colorful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6 Colorful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6 Colorful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6 Colorful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6 Colorful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7 Colorful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7 Colorful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7 Colorful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7 Colorful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7 Colorful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7 Colorful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7 Colorful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1 Light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1 Light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1 Light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1 Light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1 Light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1 Light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1 Light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2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2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2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2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2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2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3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3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3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3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3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3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4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4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4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4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4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4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5 Dark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5 Dark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5 Dark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5 Dark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5 Dark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5 Dark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5 Dark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6 Colorful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6 Colorful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6 Colorful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6 Colorful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6 Colorful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6 Colorful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6 Colorful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7 Colorful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7 Colorful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7 Colorful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7 Colorful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7 Colorful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7 Colorful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7 Colorful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ned - Accent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ned - Accent 1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ned - Accent 2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ned - Accent 3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ned - Accent 4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ned - Accent 5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ned - Accent 6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Bordered &amp; Lined - Accent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Bordered &amp; Lined - Accent 1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Bordered &amp; Lined - Accent 2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Bordered &amp; Lined - Accent 3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Bordered &amp; Lined - Accent 4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Bordered &amp; Lined - Accent 5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Bordered &amp; Lined - Accent 6"/>
    <w:basedOn w:val="83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- Accent 1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- Accent 2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- Accent 3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- Accent 4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- Accent 5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- Accent 6"/>
    <w:basedOn w:val="83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16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17">
    <w:name w:val="footnote text"/>
    <w:basedOn w:val="835"/>
    <w:link w:val="818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18">
    <w:name w:val="Footnote Text Char"/>
    <w:link w:val="817"/>
    <w:uiPriority w:val="99"/>
    <w:pPr>
      <w:pBdr/>
      <w:spacing/>
      <w:ind/>
    </w:pPr>
    <w:rPr>
      <w:sz w:val="18"/>
    </w:rPr>
  </w:style>
  <w:style w:type="character" w:styleId="819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20">
    <w:name w:val="endnote text"/>
    <w:basedOn w:val="835"/>
    <w:link w:val="821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21">
    <w:name w:val="Endnote Text Char"/>
    <w:link w:val="820"/>
    <w:uiPriority w:val="99"/>
    <w:pPr>
      <w:pBdr/>
      <w:spacing/>
      <w:ind/>
    </w:pPr>
    <w:rPr>
      <w:sz w:val="20"/>
    </w:rPr>
  </w:style>
  <w:style w:type="character" w:styleId="822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23">
    <w:name w:val="toc 1"/>
    <w:basedOn w:val="835"/>
    <w:next w:val="835"/>
    <w:uiPriority w:val="39"/>
    <w:unhideWhenUsed/>
    <w:pPr>
      <w:pBdr/>
      <w:spacing w:after="57"/>
      <w:ind w:right="0" w:firstLine="0" w:left="0"/>
    </w:pPr>
  </w:style>
  <w:style w:type="paragraph" w:styleId="824">
    <w:name w:val="toc 2"/>
    <w:basedOn w:val="835"/>
    <w:next w:val="835"/>
    <w:uiPriority w:val="39"/>
    <w:unhideWhenUsed/>
    <w:pPr>
      <w:pBdr/>
      <w:spacing w:after="57"/>
      <w:ind w:right="0" w:firstLine="0" w:left="283"/>
    </w:pPr>
  </w:style>
  <w:style w:type="paragraph" w:styleId="825">
    <w:name w:val="toc 3"/>
    <w:basedOn w:val="835"/>
    <w:next w:val="835"/>
    <w:uiPriority w:val="39"/>
    <w:unhideWhenUsed/>
    <w:pPr>
      <w:pBdr/>
      <w:spacing w:after="57"/>
      <w:ind w:right="0" w:firstLine="0" w:left="567"/>
    </w:pPr>
  </w:style>
  <w:style w:type="paragraph" w:styleId="826">
    <w:name w:val="toc 4"/>
    <w:basedOn w:val="835"/>
    <w:next w:val="835"/>
    <w:uiPriority w:val="39"/>
    <w:unhideWhenUsed/>
    <w:pPr>
      <w:pBdr/>
      <w:spacing w:after="57"/>
      <w:ind w:right="0" w:firstLine="0" w:left="850"/>
    </w:pPr>
  </w:style>
  <w:style w:type="paragraph" w:styleId="827">
    <w:name w:val="toc 5"/>
    <w:basedOn w:val="835"/>
    <w:next w:val="835"/>
    <w:uiPriority w:val="39"/>
    <w:unhideWhenUsed/>
    <w:pPr>
      <w:pBdr/>
      <w:spacing w:after="57"/>
      <w:ind w:right="0" w:firstLine="0" w:left="1134"/>
    </w:pPr>
  </w:style>
  <w:style w:type="paragraph" w:styleId="828">
    <w:name w:val="toc 6"/>
    <w:basedOn w:val="835"/>
    <w:next w:val="835"/>
    <w:uiPriority w:val="39"/>
    <w:unhideWhenUsed/>
    <w:pPr>
      <w:pBdr/>
      <w:spacing w:after="57"/>
      <w:ind w:right="0" w:firstLine="0" w:left="1417"/>
    </w:pPr>
  </w:style>
  <w:style w:type="paragraph" w:styleId="829">
    <w:name w:val="toc 7"/>
    <w:basedOn w:val="835"/>
    <w:next w:val="835"/>
    <w:uiPriority w:val="39"/>
    <w:unhideWhenUsed/>
    <w:pPr>
      <w:pBdr/>
      <w:spacing w:after="57"/>
      <w:ind w:right="0" w:firstLine="0" w:left="1701"/>
    </w:pPr>
  </w:style>
  <w:style w:type="paragraph" w:styleId="830">
    <w:name w:val="toc 8"/>
    <w:basedOn w:val="835"/>
    <w:next w:val="835"/>
    <w:uiPriority w:val="39"/>
    <w:unhideWhenUsed/>
    <w:pPr>
      <w:pBdr/>
      <w:spacing w:after="57"/>
      <w:ind w:right="0" w:firstLine="0" w:left="1984"/>
    </w:pPr>
  </w:style>
  <w:style w:type="paragraph" w:styleId="831">
    <w:name w:val="toc 9"/>
    <w:basedOn w:val="835"/>
    <w:next w:val="835"/>
    <w:uiPriority w:val="39"/>
    <w:unhideWhenUsed/>
    <w:pPr>
      <w:pBdr/>
      <w:spacing w:after="57"/>
      <w:ind w:right="0" w:firstLine="0" w:left="2268"/>
    </w:pPr>
  </w:style>
  <w:style w:type="paragraph" w:styleId="832">
    <w:name w:val="TOC Heading"/>
    <w:uiPriority w:val="39"/>
    <w:unhideWhenUsed/>
    <w:pPr>
      <w:pBdr/>
      <w:spacing/>
      <w:ind/>
    </w:pPr>
  </w:style>
  <w:style w:type="paragraph" w:styleId="833">
    <w:name w:val="table of figures"/>
    <w:basedOn w:val="835"/>
    <w:next w:val="835"/>
    <w:uiPriority w:val="99"/>
    <w:unhideWhenUsed/>
    <w:pPr>
      <w:pBdr/>
      <w:spacing w:after="0" w:afterAutospacing="0"/>
      <w:ind/>
    </w:pPr>
  </w:style>
  <w:style w:type="table" w:styleId="834" w:default="1">
    <w:name w:val="Normal Table"/>
    <w:uiPriority w:val="99"/>
    <w:semiHidden/>
    <w:unhideWhenUsed/>
    <w:qFormat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35" w:default="1">
    <w:name w:val="Normal"/>
    <w:next w:val="835"/>
    <w:pPr>
      <w:widowControl w:val="true"/>
      <w:pBdr/>
      <w:spacing w:after="200" w:before="0" w:line="276" w:lineRule="auto"/>
      <w:ind/>
    </w:pPr>
    <w:rPr>
      <w:rFonts w:ascii="Calibri" w:hAnsi="Calibri" w:eastAsia="Calibri" w:cs="Calibri"/>
      <w:color w:val="auto"/>
      <w:sz w:val="22"/>
      <w:szCs w:val="22"/>
      <w:lang w:val="ru-RU" w:eastAsia="zh-CN" w:bidi="ar-SA"/>
    </w:rPr>
  </w:style>
  <w:style w:type="paragraph" w:styleId="836">
    <w:name w:val="Заголовок 1"/>
    <w:basedOn w:val="835"/>
    <w:next w:val="856"/>
    <w:pPr>
      <w:numPr>
        <w:ilvl w:val="0"/>
        <w:numId w:val="1"/>
      </w:numPr>
      <w:pBdr/>
      <w:spacing w:after="280" w:before="280" w:line="240" w:lineRule="auto"/>
      <w:ind/>
      <w:outlineLvl w:val="0"/>
    </w:pPr>
    <w:rPr>
      <w:rFonts w:ascii="Times New Roman" w:hAnsi="Times New Roman" w:eastAsia="Times New Roman" w:cs="Times New Roman"/>
      <w:b/>
      <w:bCs/>
      <w:sz w:val="48"/>
      <w:szCs w:val="48"/>
      <w:lang w:val="en-US"/>
    </w:rPr>
  </w:style>
  <w:style w:type="paragraph" w:styleId="837">
    <w:name w:val="Заголовок 2"/>
    <w:basedOn w:val="835"/>
    <w:next w:val="835"/>
    <w:pPr>
      <w:keepNext w:val="true"/>
      <w:numPr>
        <w:ilvl w:val="1"/>
        <w:numId w:val="1"/>
      </w:numPr>
      <w:pBdr/>
      <w:spacing w:after="60" w:before="240"/>
      <w:ind/>
      <w:outlineLvl w:val="1"/>
    </w:pPr>
    <w:rPr>
      <w:rFonts w:ascii="Calibri Light" w:hAnsi="Calibri Light" w:eastAsia="Times New Roman" w:cs="Times New Roman"/>
      <w:b/>
      <w:bCs/>
      <w:i/>
      <w:iCs/>
      <w:sz w:val="28"/>
      <w:szCs w:val="28"/>
    </w:rPr>
  </w:style>
  <w:style w:type="character" w:styleId="838">
    <w:name w:val="Основной шрифт абзаца"/>
    <w:next w:val="838"/>
    <w:pPr>
      <w:pBdr/>
      <w:spacing/>
      <w:ind/>
    </w:pPr>
  </w:style>
  <w:style w:type="character" w:styleId="839">
    <w:name w:val="Основной шрифт абзаца2"/>
    <w:next w:val="839"/>
    <w:pPr>
      <w:pBdr/>
      <w:spacing/>
      <w:ind/>
    </w:pPr>
  </w:style>
  <w:style w:type="character" w:styleId="840">
    <w:name w:val="Absatz-Standardschriftart"/>
    <w:next w:val="840"/>
    <w:link w:val="835"/>
    <w:pPr>
      <w:pBdr/>
      <w:spacing/>
      <w:ind/>
    </w:pPr>
  </w:style>
  <w:style w:type="character" w:styleId="841">
    <w:name w:val="WW-Absatz-Standardschriftart"/>
    <w:next w:val="841"/>
    <w:pPr>
      <w:pBdr/>
      <w:spacing/>
      <w:ind/>
    </w:pPr>
  </w:style>
  <w:style w:type="character" w:styleId="842">
    <w:name w:val="WW-Absatz-Standardschriftart1"/>
    <w:next w:val="842"/>
    <w:pPr>
      <w:pBdr/>
      <w:spacing/>
      <w:ind/>
    </w:pPr>
  </w:style>
  <w:style w:type="character" w:styleId="843">
    <w:name w:val="WW-Absatz-Standardschriftart11"/>
    <w:next w:val="843"/>
    <w:pPr>
      <w:pBdr/>
      <w:spacing/>
      <w:ind/>
    </w:pPr>
  </w:style>
  <w:style w:type="character" w:styleId="844">
    <w:name w:val="WW-Absatz-Standardschriftart111"/>
    <w:next w:val="844"/>
    <w:pPr>
      <w:pBdr/>
      <w:spacing/>
      <w:ind/>
    </w:pPr>
  </w:style>
  <w:style w:type="character" w:styleId="845">
    <w:name w:val="WW-Absatz-Standardschriftart1111"/>
    <w:next w:val="845"/>
    <w:pPr>
      <w:pBdr/>
      <w:spacing/>
      <w:ind/>
    </w:pPr>
  </w:style>
  <w:style w:type="character" w:styleId="846">
    <w:name w:val="WW-Absatz-Standardschriftart11111"/>
    <w:next w:val="846"/>
    <w:pPr>
      <w:pBdr/>
      <w:spacing/>
      <w:ind/>
    </w:pPr>
  </w:style>
  <w:style w:type="character" w:styleId="847">
    <w:name w:val="WW-Absatz-Standardschriftart111111"/>
    <w:next w:val="847"/>
    <w:pPr>
      <w:pBdr/>
      <w:spacing/>
      <w:ind/>
    </w:pPr>
  </w:style>
  <w:style w:type="character" w:styleId="848">
    <w:name w:val="Основной шрифт абзаца1"/>
    <w:next w:val="848"/>
    <w:link w:val="835"/>
    <w:pPr>
      <w:pBdr/>
      <w:spacing/>
      <w:ind/>
    </w:pPr>
  </w:style>
  <w:style w:type="character" w:styleId="849">
    <w:name w:val="Сильный акцент"/>
    <w:next w:val="849"/>
    <w:pPr>
      <w:pBdr/>
      <w:spacing/>
      <w:ind/>
    </w:pPr>
    <w:rPr>
      <w:b/>
      <w:bCs/>
    </w:rPr>
  </w:style>
  <w:style w:type="character" w:styleId="850">
    <w:name w:val="Акцент"/>
    <w:next w:val="850"/>
    <w:pPr>
      <w:pBdr/>
      <w:spacing/>
      <w:ind/>
    </w:pPr>
    <w:rPr>
      <w:i/>
      <w:iCs/>
    </w:rPr>
  </w:style>
  <w:style w:type="character" w:styleId="851">
    <w:name w:val="Заголовок 1 Знак"/>
    <w:next w:val="851"/>
    <w:pPr>
      <w:pBdr/>
      <w:spacing/>
      <w:ind/>
    </w:pPr>
    <w:rPr>
      <w:b/>
      <w:bCs/>
      <w:sz w:val="48"/>
      <w:szCs w:val="48"/>
    </w:rPr>
  </w:style>
  <w:style w:type="character" w:styleId="852">
    <w:name w:val="Текст выноски Знак"/>
    <w:next w:val="852"/>
    <w:pPr>
      <w:pBdr/>
      <w:spacing/>
      <w:ind/>
    </w:pPr>
    <w:rPr>
      <w:rFonts w:ascii="Segoe UI" w:hAnsi="Segoe UI" w:eastAsia="Calibri" w:cs="Segoe UI"/>
      <w:sz w:val="18"/>
      <w:szCs w:val="18"/>
      <w:lang w:eastAsia="zh-CN"/>
    </w:rPr>
  </w:style>
  <w:style w:type="character" w:styleId="853">
    <w:name w:val="Заголовок 2 Знак"/>
    <w:next w:val="853"/>
    <w:pPr>
      <w:pBdr/>
      <w:spacing/>
      <w:ind/>
    </w:pPr>
    <w:rPr>
      <w:rFonts w:ascii="Calibri Light" w:hAnsi="Calibri Light" w:eastAsia="Times New Roman" w:cs="Times New Roman"/>
      <w:b/>
      <w:bCs/>
      <w:i/>
      <w:iCs/>
      <w:sz w:val="28"/>
      <w:szCs w:val="28"/>
      <w:lang w:eastAsia="zh-CN"/>
    </w:rPr>
  </w:style>
  <w:style w:type="character" w:styleId="854">
    <w:name w:val="Интернет-ссылка"/>
    <w:next w:val="854"/>
    <w:pPr>
      <w:pBdr/>
      <w:spacing/>
      <w:ind/>
    </w:pPr>
    <w:rPr>
      <w:color w:val="0000ff"/>
      <w:u w:val="single"/>
    </w:rPr>
  </w:style>
  <w:style w:type="paragraph" w:styleId="855">
    <w:name w:val="Заголовок"/>
    <w:basedOn w:val="835"/>
    <w:next w:val="856"/>
    <w:pPr>
      <w:keepNext w:val="true"/>
      <w:pBdr/>
      <w:spacing w:after="120" w:before="240"/>
      <w:ind/>
    </w:pPr>
    <w:rPr>
      <w:rFonts w:ascii="Arial" w:hAnsi="Arial" w:eastAsia="Lucida Sans Unicode" w:cs="Tahoma"/>
      <w:sz w:val="28"/>
      <w:szCs w:val="28"/>
    </w:rPr>
  </w:style>
  <w:style w:type="paragraph" w:styleId="856">
    <w:name w:val="Основной текст"/>
    <w:basedOn w:val="835"/>
    <w:next w:val="856"/>
    <w:pPr>
      <w:pBdr/>
      <w:spacing w:after="120" w:before="0"/>
      <w:ind/>
    </w:pPr>
  </w:style>
  <w:style w:type="paragraph" w:styleId="857">
    <w:name w:val="Список"/>
    <w:basedOn w:val="856"/>
    <w:next w:val="857"/>
    <w:pPr>
      <w:pBdr/>
      <w:spacing/>
      <w:ind/>
    </w:pPr>
    <w:rPr>
      <w:rFonts w:cs="Tahoma"/>
    </w:rPr>
  </w:style>
  <w:style w:type="paragraph" w:styleId="858">
    <w:name w:val="Название"/>
    <w:basedOn w:val="835"/>
    <w:next w:val="858"/>
    <w:pPr>
      <w:suppressLineNumbers w:val="true"/>
      <w:pBdr/>
      <w:spacing w:after="120" w:before="120"/>
      <w:ind/>
    </w:pPr>
    <w:rPr>
      <w:rFonts w:ascii="PT Astra Serif" w:hAnsi="PT Astra Serif" w:cs="Noto Sans Devanagari"/>
      <w:i/>
      <w:iCs/>
      <w:sz w:val="24"/>
      <w:szCs w:val="24"/>
    </w:rPr>
  </w:style>
  <w:style w:type="paragraph" w:styleId="859">
    <w:name w:val="Указатель"/>
    <w:basedOn w:val="835"/>
    <w:next w:val="859"/>
    <w:pPr>
      <w:suppressLineNumbers w:val="true"/>
      <w:pBdr/>
      <w:spacing/>
      <w:ind/>
    </w:pPr>
    <w:rPr>
      <w:rFonts w:ascii="PT Astra Serif" w:hAnsi="PT Astra Serif" w:cs="Noto Sans Devanagari"/>
    </w:rPr>
  </w:style>
  <w:style w:type="paragraph" w:styleId="860">
    <w:name w:val="Название объекта"/>
    <w:basedOn w:val="835"/>
    <w:next w:val="860"/>
    <w:pPr>
      <w:suppressLineNumbers w:val="true"/>
      <w:pBdr/>
      <w:spacing w:after="120" w:before="120"/>
      <w:ind/>
    </w:pPr>
    <w:rPr>
      <w:rFonts w:cs="Mangal"/>
      <w:i/>
      <w:iCs/>
      <w:sz w:val="24"/>
      <w:szCs w:val="24"/>
    </w:rPr>
  </w:style>
  <w:style w:type="paragraph" w:styleId="861">
    <w:name w:val="Указатель2"/>
    <w:basedOn w:val="835"/>
    <w:next w:val="861"/>
    <w:pPr>
      <w:suppressLineNumbers w:val="true"/>
      <w:pBdr/>
      <w:spacing/>
      <w:ind/>
    </w:pPr>
    <w:rPr>
      <w:rFonts w:cs="Mangal"/>
    </w:rPr>
  </w:style>
  <w:style w:type="paragraph" w:styleId="862">
    <w:name w:val="Название1"/>
    <w:basedOn w:val="835"/>
    <w:next w:val="862"/>
    <w:pPr>
      <w:suppressLineNumbers w:val="true"/>
      <w:pBdr/>
      <w:spacing w:after="120" w:before="120"/>
      <w:ind/>
    </w:pPr>
    <w:rPr>
      <w:rFonts w:cs="Tahoma"/>
      <w:i/>
      <w:iCs/>
      <w:sz w:val="24"/>
      <w:szCs w:val="24"/>
    </w:rPr>
  </w:style>
  <w:style w:type="paragraph" w:styleId="863">
    <w:name w:val="Указатель1"/>
    <w:basedOn w:val="835"/>
    <w:next w:val="863"/>
    <w:pPr>
      <w:suppressLineNumbers w:val="true"/>
      <w:pBdr/>
      <w:spacing/>
      <w:ind/>
    </w:pPr>
    <w:rPr>
      <w:rFonts w:cs="Tahoma"/>
    </w:rPr>
  </w:style>
  <w:style w:type="paragraph" w:styleId="864">
    <w:name w:val="Содержимое таблицы"/>
    <w:basedOn w:val="835"/>
    <w:next w:val="864"/>
    <w:pPr>
      <w:suppressLineNumbers w:val="true"/>
      <w:pBdr/>
      <w:spacing w:after="0" w:before="0" w:line="240" w:lineRule="auto"/>
      <w:ind/>
    </w:pPr>
    <w:rPr>
      <w:rFonts w:ascii="Times New Roman" w:hAnsi="Times New Roman" w:eastAsia="Times New Roman" w:cs="Times New Roman"/>
      <w:sz w:val="24"/>
      <w:szCs w:val="24"/>
    </w:rPr>
  </w:style>
  <w:style w:type="paragraph" w:styleId="865">
    <w:name w:val="Заголовок таблицы"/>
    <w:basedOn w:val="864"/>
    <w:next w:val="865"/>
    <w:pPr>
      <w:suppressLineNumbers w:val="true"/>
      <w:pBdr/>
      <w:spacing/>
      <w:ind/>
      <w:jc w:val="center"/>
    </w:pPr>
    <w:rPr>
      <w:b/>
      <w:bCs/>
    </w:rPr>
  </w:style>
  <w:style w:type="paragraph" w:styleId="866">
    <w:name w:val="Без интервала"/>
    <w:next w:val="866"/>
    <w:pPr>
      <w:widowControl w:val="true"/>
      <w:pBdr/>
      <w:spacing/>
      <w:ind/>
    </w:pPr>
    <w:rPr>
      <w:rFonts w:ascii="Calibri" w:hAnsi="Calibri" w:eastAsia="Arial" w:cs="Calibri"/>
      <w:color w:val="auto"/>
      <w:sz w:val="22"/>
      <w:szCs w:val="22"/>
      <w:lang w:val="ru-RU" w:eastAsia="zh-CN" w:bidi="ar-SA"/>
    </w:rPr>
  </w:style>
  <w:style w:type="paragraph" w:styleId="867">
    <w:name w:val="WW-Базовый"/>
    <w:next w:val="867"/>
    <w:pPr>
      <w:widowControl w:val="false"/>
      <w:pBdr/>
      <w:tabs>
        <w:tab w:val="left" w:leader="none" w:pos="709"/>
      </w:tabs>
      <w:spacing w:after="200" w:before="0" w:line="276" w:lineRule="auto"/>
      <w:ind/>
    </w:pPr>
    <w:rPr>
      <w:rFonts w:ascii="Times New Roman" w:hAnsi="Times New Roman" w:eastAsia="SimSun" w:cs="Mangal"/>
      <w:color w:val="00000a"/>
      <w:sz w:val="24"/>
      <w:szCs w:val="24"/>
      <w:lang w:val="ru-RU" w:eastAsia="zh-CN" w:bidi="hi-IN"/>
    </w:rPr>
  </w:style>
  <w:style w:type="paragraph" w:styleId="868">
    <w:name w:val="brief"/>
    <w:basedOn w:val="835"/>
    <w:next w:val="868"/>
    <w:pPr>
      <w:pBdr/>
      <w:spacing w:after="280" w:before="280" w:line="240" w:lineRule="auto"/>
      <w:ind/>
    </w:pPr>
    <w:rPr>
      <w:rFonts w:ascii="Times New Roman" w:hAnsi="Times New Roman" w:eastAsia="Times New Roman" w:cs="Times New Roman"/>
      <w:sz w:val="24"/>
      <w:szCs w:val="24"/>
    </w:rPr>
  </w:style>
  <w:style w:type="paragraph" w:styleId="869">
    <w:name w:val="Обычный (веб)"/>
    <w:basedOn w:val="835"/>
    <w:next w:val="869"/>
    <w:pPr>
      <w:pBdr/>
      <w:spacing w:after="280" w:before="280" w:line="240" w:lineRule="auto"/>
      <w:ind/>
    </w:pPr>
    <w:rPr>
      <w:rFonts w:ascii="Times New Roman" w:hAnsi="Times New Roman" w:eastAsia="Times New Roman" w:cs="Times New Roman"/>
      <w:sz w:val="24"/>
      <w:szCs w:val="24"/>
    </w:rPr>
  </w:style>
  <w:style w:type="paragraph" w:styleId="870">
    <w:name w:val="Текст выноски"/>
    <w:basedOn w:val="835"/>
    <w:next w:val="870"/>
    <w:pPr>
      <w:pBdr/>
      <w:spacing w:after="0" w:before="0" w:line="240" w:lineRule="auto"/>
      <w:ind/>
    </w:pPr>
    <w:rPr>
      <w:rFonts w:ascii="Segoe UI" w:hAnsi="Segoe UI" w:cs="Times New Roman"/>
      <w:sz w:val="18"/>
      <w:szCs w:val="18"/>
      <w:lang w:val="en-US"/>
    </w:rPr>
  </w:style>
  <w:style w:type="character" w:styleId="871" w:default="1">
    <w:name w:val="Default Paragraph Font"/>
    <w:uiPriority w:val="1"/>
    <w:semiHidden/>
    <w:unhideWhenUsed/>
    <w:pPr>
      <w:pBdr/>
      <w:spacing/>
      <w:ind/>
    </w:pPr>
  </w:style>
  <w:style w:type="numbering" w:styleId="872" w:default="1">
    <w:name w:val="No List"/>
    <w:uiPriority w:val="99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hyperlink" Target="mailto:tu8-kostroma@fsvps.gov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ONLYOFFICE/7.5.0.127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Karantin2</dc:creator>
  <cp:revision>9</cp:revision>
  <dcterms:created xsi:type="dcterms:W3CDTF">2023-10-04T13:59:00Z</dcterms:created>
  <dcterms:modified xsi:type="dcterms:W3CDTF">2024-08-09T08:12:04Z</dcterms:modified>
</cp:coreProperties>
</file>